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7"/>
        <w:tblW w:w="1034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962"/>
        <w:gridCol w:w="567"/>
        <w:gridCol w:w="4820"/>
      </w:tblGrid>
      <w:tr>
        <w:trPr>
          <w:trHeight w:val="794" w:hRule="atLeast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1"/>
                <w:szCs w:val="21"/>
                <w:lang w:eastAsia="en-GB"/>
              </w:rPr>
            </w:pPr>
            <w:r>
              <w:rPr/>
              <w:drawing>
                <wp:inline distT="0" distB="0" distL="0" distR="0">
                  <wp:extent cx="1988820" cy="50419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docPartList>
                <w:docPartGallery w:val="Quick Parts"/>
                <w:docPartCategory w:val="ДСП"/>
              </w:docPartList>
              <w:id w:val="-95013389"/>
              <w:placeholder>
                <w:docPart w:val="9200AC9F1BA9463CBBF87E938B9954D6"/>
              </w:placeholder>
              <w:alias w:val="Пометка дсп/кт"/>
              <w:tag w:val="Пометка дсп/кт"/>
            </w:sdtPr>
            <w:sdtContent>
              <w:p>
                <w:pPr>
                  <w:pStyle w:val="ConsPlusNormal"/>
                  <w:suppressAutoHyphens w:val="true"/>
                  <w:spacing w:lineRule="exact" w:line="300" w:before="0" w:after="0"/>
                  <w:ind w:firstLine="1"/>
                  <w:jc w:val="both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cs="Times New Roman" w:ascii="Times New Roman" w:hAnsi="Times New Roman"/>
                    <w:b/>
                    <w:sz w:val="28"/>
                    <w:szCs w:val="28"/>
                  </w:rPr>
                </w:r>
              </w:p>
            </w:sdtContent>
          </w:sdt>
        </w:tc>
      </w:tr>
      <w:tr>
        <w:trPr>
          <w:trHeight w:val="142" w:hRule="atLeast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147672882"/>
              <w:placeholder>
                <w:docPart w:val="6F01EBEA27A541DC9E545D24BEF387D2"/>
              </w:placeholder>
              <w:showingPlcHdr/>
              <w:lock w:val="contentLocked"/>
            </w:sdtPr>
            <w:sdtContent>
              <w:p>
                <w:pPr>
                  <w:pStyle w:val="Style27"/>
                  <w:widowControl/>
                  <w:suppressAutoHyphens w:val="true"/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</w:r>
              </w:p>
            </w:sdtContent>
          </w:sdt>
        </w:tc>
        <w:tc>
          <w:tcPr>
            <w:tcW w:w="5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1"/>
                <w:szCs w:val="21"/>
                <w:lang w:eastAsia="en-GB"/>
              </w:rPr>
            </w:pPr>
            <w:r>
              <w:rPr>
                <w:b/>
                <w:sz w:val="21"/>
                <w:szCs w:val="21"/>
                <w:lang w:eastAsia="en-GB"/>
              </w:rPr>
            </w:r>
          </w:p>
        </w:tc>
      </w:tr>
      <w:tr>
        <w:trPr>
          <w:trHeight w:val="631" w:hRule="atLeast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 xml:space="preserve">Акционерное общество </w:t>
            </w:r>
            <w:r>
              <w:rPr>
                <w:rFonts w:eastAsia="Calibri" w:cs="Times New Roman"/>
                <w:b/>
                <w:kern w:val="0"/>
                <w:sz w:val="20"/>
                <w:lang w:val="ru-RU" w:eastAsia="en-GB" w:bidi="ar-SA"/>
              </w:rPr>
              <w:br/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«РИР Энерго</w:t>
            </w:r>
            <w:bookmarkStart w:id="0" w:name="_GoBack"/>
            <w:bookmarkEnd w:id="0"/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(АО «РИР Энерго»)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Филиал АО «РИР Энерго»- «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Кур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GB" w:bidi="ar-SA"/>
              </w:rPr>
              <w:t>ская генерация»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lang w:eastAsia="en-GB"/>
              </w:rPr>
            </w:pPr>
            <w:r>
              <w:rPr>
                <w:b/>
                <w:sz w:val="20"/>
                <w:lang w:eastAsia="en-GB"/>
              </w:rPr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8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8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ТЕХНИЧЕСКИЕ УСЛОВИЯ</w:t>
      </w:r>
    </w:p>
    <w:p>
      <w:pPr>
        <w:pStyle w:val="Normal"/>
        <w:tabs>
          <w:tab w:val="clear" w:pos="708"/>
          <w:tab w:val="left" w:pos="1800" w:leader="none"/>
        </w:tabs>
        <w:spacing w:before="0" w:after="240"/>
        <w:jc w:val="center"/>
        <w:rPr>
          <w:b/>
        </w:rPr>
      </w:pPr>
      <w:r>
        <w:rPr>
          <w:b/>
        </w:rPr>
        <w:t>подключения объекта капитального строительства к системам теплоснабжения</w:t>
      </w:r>
    </w:p>
    <w:tbl>
      <w:tblPr>
        <w:tblStyle w:val="a7"/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76"/>
        <w:gridCol w:w="987"/>
        <w:gridCol w:w="25"/>
        <w:gridCol w:w="1080"/>
        <w:gridCol w:w="4424"/>
        <w:gridCol w:w="650"/>
        <w:gridCol w:w="70"/>
        <w:gridCol w:w="1535"/>
        <w:gridCol w:w="284"/>
        <w:gridCol w:w="172"/>
      </w:tblGrid>
      <w:tr>
        <w:trPr>
          <w:trHeight w:val="259" w:hRule="atLeast"/>
        </w:trPr>
        <w:tc>
          <w:tcPr>
            <w:tcW w:w="9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ind w:right="-52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5" w:hRule="atLeast"/>
        </w:trPr>
        <w:tc>
          <w:tcPr>
            <w:tcW w:w="9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1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1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bookmarkStart w:id="1" w:name="ТекстДокумента"/>
            <w:bookmarkEnd w:id="1"/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Заявитель:</w:t>
            </w:r>
          </w:p>
        </w:tc>
        <w:tc>
          <w:tcPr>
            <w:tcW w:w="8240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586" w:leader="none"/>
              </w:tabs>
              <w:suppressAutoHyphens w:val="true"/>
              <w:spacing w:lineRule="exact" w:line="260" w:before="0" w:after="0"/>
              <w:ind w:left="-23"/>
              <w:jc w:val="lef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</w:r>
          </w:p>
        </w:tc>
      </w:tr>
      <w:tr>
        <w:trPr/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Объект:</w:t>
            </w:r>
          </w:p>
        </w:tc>
        <w:tc>
          <w:tcPr>
            <w:tcW w:w="8240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Адрес объекта:</w:t>
            </w:r>
          </w:p>
        </w:tc>
        <w:tc>
          <w:tcPr>
            <w:tcW w:w="8240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20" w:hRule="atLeast"/>
        </w:trPr>
        <w:tc>
          <w:tcPr>
            <w:tcW w:w="10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(основание запрос заявителя / заявка № _______ от _.__.20__ г.)</w:t>
            </w:r>
          </w:p>
          <w:p>
            <w:pPr>
              <w:pStyle w:val="Normal"/>
              <w:widowControl/>
              <w:tabs>
                <w:tab w:val="clear" w:pos="708"/>
                <w:tab w:val="left" w:pos="1800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Срок подключения объекта к системе централизованного теплоснабжения – в течение 18 месяцев с момента заключения договора о подключении.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Источники теплоснабжения – котельная «Южная».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Существующая система централизованного теплоснабжения –открытая. 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Схему присоединения системы отопления (зависимая/независимая) определить проектом.         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значение температуры сетевой воды в подающем трубопроводе, согласно температурному графику и схеме теплоснабжения города – ____ ºС.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температурный график: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0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расчетный перепад температур между подающим и обратным трубопроводом для гидравлических расчетов и подбора оборудования ИТП на отопление – __ °С (при расчетной температуре наружного воздуха -__ °С);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0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достигаемая температура теплоносителя в подающем трубопроводе (при -__ °С) – ___ °С;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0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внутренней системы отопления – __-__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0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на горячее водоснабжение – __-__ °С;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0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 подающем трубопроводе устанавливается по усредненной температуре наружного воздуха за промежуток __-__ часа;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Точка подключения – ____________________________.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 присоединения - ___________________________.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Тепловая нагрузка в горячей воде (заявленная), Гкал/ч:</w:t>
      </w:r>
    </w:p>
    <w:tbl>
      <w:tblPr>
        <w:tblW w:w="9893" w:type="dxa"/>
        <w:jc w:val="left"/>
        <w:tblInd w:w="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99"/>
        <w:gridCol w:w="1419"/>
        <w:gridCol w:w="1546"/>
        <w:gridCol w:w="1574"/>
        <w:gridCol w:w="1255"/>
      </w:tblGrid>
      <w:tr>
        <w:trPr>
          <w:trHeight w:val="271" w:hRule="atLeast"/>
          <w:cantSplit w:val="true"/>
        </w:trPr>
        <w:tc>
          <w:tcPr>
            <w:tcW w:w="40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Системы теплопотребления</w:t>
            </w:r>
          </w:p>
        </w:tc>
        <w:tc>
          <w:tcPr>
            <w:tcW w:w="1419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Отопление</w:t>
            </w:r>
          </w:p>
        </w:tc>
        <w:tc>
          <w:tcPr>
            <w:tcW w:w="1546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Вентиляция</w:t>
            </w:r>
          </w:p>
        </w:tc>
        <w:tc>
          <w:tcPr>
            <w:tcW w:w="1574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ГВС (макс)</w:t>
            </w:r>
          </w:p>
        </w:tc>
        <w:tc>
          <w:tcPr>
            <w:tcW w:w="1255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</w:t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4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Горячее водоснабжение ________________________________.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Параметры теплоносителя в точке присоединения: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температура в подающем трубопроводе:</w:t>
      </w:r>
    </w:p>
    <w:p>
      <w:pPr>
        <w:pStyle w:val="Normal"/>
        <w:tabs>
          <w:tab w:val="clear" w:pos="708"/>
          <w:tab w:val="left" w:pos="180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 ± _ °С при температуре наружного воздуха -___ °С;</w:t>
      </w:r>
    </w:p>
    <w:p>
      <w:pPr>
        <w:pStyle w:val="Normal"/>
        <w:tabs>
          <w:tab w:val="clear" w:pos="708"/>
          <w:tab w:val="left" w:pos="180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 ± _ °С при температуре наружного воздуха от __ °С.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давление в подающем трубопроводе: __ ± _ м вод. ст. (в отопительный период);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давление в обратном трубопроводе: __ ± __ м вод. ст. (в отопительный период);</w:t>
      </w:r>
    </w:p>
    <w:p>
      <w:pPr>
        <w:pStyle w:val="Normal"/>
        <w:tabs>
          <w:tab w:val="clear" w:pos="708"/>
          <w:tab w:val="left" w:pos="1800" w:leader="none"/>
        </w:tabs>
        <w:spacing w:before="120" w:after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Расчетные параметры теплосети внутренней системы отопления: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 давлению – __ кгс/см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 температуре – __ °С.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Категория надежности – определить проектом.             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800" w:leader="none"/>
        </w:tabs>
        <w:ind w:hanging="426" w:left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Отметка линии статического давления – ____ м.</w:t>
      </w:r>
    </w:p>
    <w:p>
      <w:pPr>
        <w:pStyle w:val="Normal"/>
        <w:numPr>
          <w:ilvl w:val="0"/>
          <w:numId w:val="4"/>
        </w:numPr>
        <w:spacing w:before="120" w:after="0"/>
        <w:ind w:hanging="425" w:left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подключения (технологического присоединения).</w:t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1"/>
          <w:numId w:val="7"/>
        </w:numPr>
        <w:spacing w:before="12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</w:t>
      </w:r>
      <w:r>
        <w:rPr>
          <w:bCs/>
          <w:i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BodyTextIndent3"/>
        <w:numPr>
          <w:ilvl w:val="1"/>
          <w:numId w:val="7"/>
        </w:numPr>
        <w:spacing w:before="0" w:after="0"/>
        <w:ind w:hanging="425" w:left="851"/>
        <w:jc w:val="both"/>
        <w:rPr>
          <w:sz w:val="28"/>
          <w:szCs w:val="24"/>
        </w:rPr>
      </w:pPr>
      <w:r>
        <w:rPr>
          <w:bCs/>
          <w:sz w:val="28"/>
          <w:szCs w:val="28"/>
        </w:rPr>
        <w:t>_____________________________________________</w:t>
      </w:r>
      <w:r>
        <w:rPr>
          <w:sz w:val="28"/>
          <w:szCs w:val="24"/>
        </w:rPr>
        <w:t xml:space="preserve">. </w:t>
      </w:r>
    </w:p>
    <w:p>
      <w:pPr>
        <w:pStyle w:val="BodyTextIndent3"/>
        <w:numPr>
          <w:ilvl w:val="1"/>
          <w:numId w:val="7"/>
        </w:numPr>
        <w:spacing w:before="0" w:after="0"/>
        <w:ind w:hanging="425" w:left="851"/>
        <w:jc w:val="both"/>
        <w:rPr>
          <w:sz w:val="28"/>
          <w:szCs w:val="24"/>
        </w:rPr>
      </w:pPr>
      <w:r>
        <w:rPr>
          <w:bCs/>
          <w:sz w:val="28"/>
          <w:szCs w:val="28"/>
        </w:rPr>
        <w:t>Предпроектные решения по выполнению условий подключения предварительно согласовать с филиалом АО «РИР Энерго» - «</w:t>
      </w:r>
      <w:r>
        <w:rPr>
          <w:bCs/>
          <w:sz w:val="28"/>
          <w:szCs w:val="28"/>
        </w:rPr>
        <w:t>Кур</w:t>
      </w:r>
      <w:r>
        <w:rPr>
          <w:bCs/>
          <w:sz w:val="28"/>
          <w:szCs w:val="28"/>
        </w:rPr>
        <w:t>ская генерация»</w:t>
      </w:r>
      <w:r>
        <w:rPr>
          <w:sz w:val="28"/>
          <w:szCs w:val="24"/>
        </w:rPr>
        <w:t>.</w:t>
      </w:r>
    </w:p>
    <w:p>
      <w:pPr>
        <w:pStyle w:val="ListParagraph"/>
        <w:numPr>
          <w:ilvl w:val="1"/>
          <w:numId w:val="7"/>
        </w:numPr>
        <w:jc w:val="both"/>
        <w:rPr>
          <w:sz w:val="28"/>
        </w:rPr>
      </w:pPr>
      <w:r>
        <w:rPr>
          <w:sz w:val="28"/>
          <w:szCs w:val="28"/>
        </w:rPr>
        <w:t>В соответствии с требованиями нормативной документации выполнить проектные и строительно-монтажные работы по обустройству подключаемого ИТП.</w:t>
      </w:r>
      <w:r>
        <w:rPr>
          <w:sz w:val="28"/>
        </w:rPr>
        <w:t xml:space="preserve"> </w:t>
      </w:r>
      <w:r>
        <w:rPr>
          <w:i/>
          <w:sz w:val="28"/>
        </w:rPr>
        <w:t>Перед началом проектирования разработать и согласовать с филиалом АО «РИР Энерго» - «</w:t>
      </w:r>
      <w:r>
        <w:rPr>
          <w:i/>
          <w:sz w:val="28"/>
        </w:rPr>
        <w:t>Кур</w:t>
      </w:r>
      <w:r>
        <w:rPr>
          <w:i/>
          <w:sz w:val="28"/>
        </w:rPr>
        <w:t>ская генерация» принципиальную схему теплового пункта</w:t>
      </w:r>
      <w:r>
        <w:rPr>
          <w:sz w:val="28"/>
        </w:rPr>
        <w:t>. В ИТП предусмотреть:</w:t>
      </w:r>
    </w:p>
    <w:p>
      <w:pPr>
        <w:pStyle w:val="Normal"/>
        <w:numPr>
          <w:ilvl w:val="0"/>
          <w:numId w:val="8"/>
        </w:numPr>
        <w:ind w:hanging="221" w:left="1134"/>
        <w:jc w:val="both"/>
        <w:rPr>
          <w:sz w:val="28"/>
        </w:rPr>
      </w:pPr>
      <w:r>
        <w:rPr>
          <w:sz w:val="28"/>
        </w:rPr>
        <w:t xml:space="preserve">ограничение максимального расхода теплоносителя на входе/выходе теплоносителя из тепловой сети; </w:t>
      </w:r>
    </w:p>
    <w:p>
      <w:pPr>
        <w:pStyle w:val="BodyTextIndent3"/>
        <w:numPr>
          <w:ilvl w:val="0"/>
          <w:numId w:val="8"/>
        </w:numPr>
        <w:tabs>
          <w:tab w:val="clear" w:pos="708"/>
        </w:tabs>
        <w:spacing w:before="0" w:after="0"/>
        <w:ind w:hanging="226" w:left="1134"/>
        <w:jc w:val="both"/>
        <w:rPr>
          <w:sz w:val="28"/>
          <w:szCs w:val="24"/>
        </w:rPr>
      </w:pPr>
      <w:r>
        <w:rPr>
          <w:i/>
          <w:sz w:val="28"/>
          <w:szCs w:val="24"/>
        </w:rPr>
        <w:t>при выборе независимой схемы</w:t>
      </w:r>
      <w:r>
        <w:rPr>
          <w:sz w:val="28"/>
          <w:szCs w:val="24"/>
        </w:rPr>
        <w:t xml:space="preserve"> присоединения системы отопления:</w:t>
      </w:r>
    </w:p>
    <w:p>
      <w:pPr>
        <w:pStyle w:val="BodyTextIndent3"/>
        <w:numPr>
          <w:ilvl w:val="0"/>
          <w:numId w:val="9"/>
        </w:numPr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  <w:t>установку пластинчатых разборных водоподогревателей (при расчете мощности водоподогревателей применять коэффициент теплопередачи Кт=3000 Ккал/(час·м²·</w:t>
      </w:r>
      <w:r>
        <w:rPr>
          <w:sz w:val="28"/>
          <w:szCs w:val="24"/>
          <w:vertAlign w:val="superscript"/>
        </w:rPr>
        <w:t>о</w:t>
      </w:r>
      <w:r>
        <w:rPr>
          <w:sz w:val="28"/>
          <w:szCs w:val="24"/>
        </w:rPr>
        <w:t>С));</w:t>
      </w:r>
    </w:p>
    <w:p>
      <w:pPr>
        <w:pStyle w:val="BodyTextIndent3"/>
        <w:numPr>
          <w:ilvl w:val="0"/>
          <w:numId w:val="9"/>
        </w:numPr>
        <w:spacing w:before="0" w:after="0"/>
        <w:ind w:hanging="357" w:left="1848"/>
        <w:jc w:val="both"/>
        <w:rPr>
          <w:sz w:val="28"/>
          <w:szCs w:val="24"/>
        </w:rPr>
      </w:pPr>
      <w:r>
        <w:rPr>
          <w:sz w:val="28"/>
          <w:szCs w:val="24"/>
        </w:rPr>
        <w:t>автоматическую подпитку внутренней системы отопления.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993" w:leader="none"/>
        </w:tabs>
        <w:spacing w:before="0" w:after="0"/>
        <w:contextualSpacing w:val="false"/>
        <w:jc w:val="both"/>
        <w:rPr>
          <w:vanish/>
          <w:sz w:val="28"/>
        </w:rPr>
      </w:pPr>
      <w:r>
        <w:rPr>
          <w:vanish/>
          <w:sz w:val="28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993" w:leader="none"/>
        </w:tabs>
        <w:spacing w:before="0" w:after="0"/>
        <w:contextualSpacing w:val="false"/>
        <w:jc w:val="both"/>
        <w:rPr>
          <w:vanish/>
          <w:sz w:val="28"/>
        </w:rPr>
      </w:pPr>
      <w:r>
        <w:rPr>
          <w:vanish/>
          <w:sz w:val="28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993" w:leader="none"/>
        </w:tabs>
        <w:spacing w:before="0" w:after="0"/>
        <w:contextualSpacing w:val="false"/>
        <w:jc w:val="both"/>
        <w:rPr>
          <w:vanish/>
          <w:sz w:val="28"/>
        </w:rPr>
      </w:pPr>
      <w:r>
        <w:rPr>
          <w:vanish/>
          <w:sz w:val="28"/>
        </w:rPr>
      </w:r>
    </w:p>
    <w:p>
      <w:pPr>
        <w:pStyle w:val="ListParagraph"/>
        <w:numPr>
          <w:ilvl w:val="1"/>
          <w:numId w:val="7"/>
        </w:numPr>
        <w:spacing w:before="120" w:after="0"/>
        <w:ind w:hanging="539" w:left="896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</w:t>
      </w:r>
      <w:r>
        <w:rPr>
          <w:bCs/>
          <w:sz w:val="28"/>
          <w:vertAlign w:val="superscript"/>
        </w:rPr>
        <w:t>о</w:t>
      </w:r>
      <w:r>
        <w:rPr>
          <w:bCs/>
          <w:sz w:val="28"/>
        </w:rPr>
        <w:t>С и давлению не более 10 кгс/см</w:t>
      </w:r>
      <w:r>
        <w:rPr>
          <w:bCs/>
          <w:sz w:val="28"/>
          <w:vertAlign w:val="superscript"/>
        </w:rPr>
        <w:t>2</w:t>
      </w:r>
      <w:r>
        <w:rPr>
          <w:bCs/>
          <w:sz w:val="28"/>
        </w:rPr>
        <w:t>, а также соответствующие требования, указанные заводами-изготовителями в техпаспортах применяемых изделий.</w:t>
      </w:r>
    </w:p>
    <w:p>
      <w:pPr>
        <w:pStyle w:val="ListParagraph"/>
        <w:numPr>
          <w:ilvl w:val="1"/>
          <w:numId w:val="7"/>
        </w:numPr>
        <w:spacing w:before="120" w:after="0"/>
        <w:ind w:hanging="539" w:left="896"/>
        <w:contextualSpacing/>
        <w:jc w:val="both"/>
        <w:rPr>
          <w:bCs/>
          <w:sz w:val="28"/>
        </w:rPr>
      </w:pPr>
      <w:r>
        <w:rPr>
          <w:bCs/>
          <w:sz w:val="28"/>
        </w:rPr>
        <w:t>В ИТП предусмотреть отдельные врезки трубопроводов на нежилые помещения с установкой отключающей запорной арматуры. Отключающая запорная арматура должна быть установлена в помещении со свободным доступом представителей «Теплоснабжающей организации» (ИТП или подвальные помещения жилого дома).</w:t>
      </w:r>
    </w:p>
    <w:p>
      <w:pPr>
        <w:pStyle w:val="ListParagraph"/>
        <w:numPr>
          <w:ilvl w:val="1"/>
          <w:numId w:val="7"/>
        </w:numPr>
        <w:spacing w:before="120" w:after="0"/>
        <w:ind w:hanging="539" w:left="896"/>
        <w:contextualSpacing/>
        <w:jc w:val="both"/>
        <w:rPr>
          <w:bCs/>
          <w:sz w:val="28"/>
        </w:rPr>
      </w:pPr>
      <w:r>
        <w:rPr>
          <w:bCs/>
          <w:sz w:val="28"/>
        </w:rPr>
        <w:t>До заключения договора теплоснабжения необходимо подписать акт разграничения балансовой принадлежности и эксплуатационной ответственности сторон по подключаемому объекту.</w:t>
      </w:r>
    </w:p>
    <w:p>
      <w:pPr>
        <w:pStyle w:val="ListParagraph"/>
        <w:numPr>
          <w:ilvl w:val="1"/>
          <w:numId w:val="7"/>
        </w:numPr>
        <w:spacing w:before="120" w:after="0"/>
        <w:ind w:hanging="539" w:left="896"/>
        <w:contextualSpacing/>
        <w:jc w:val="both"/>
        <w:rPr>
          <w:bCs/>
          <w:sz w:val="28"/>
        </w:rPr>
      </w:pPr>
      <w:r>
        <w:rPr>
          <w:bCs/>
          <w:sz w:val="28"/>
        </w:rPr>
        <w:t>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«РИР Энерго» - «</w:t>
      </w:r>
      <w:r>
        <w:rPr>
          <w:bCs/>
          <w:sz w:val="28"/>
        </w:rPr>
        <w:t>Кур</w:t>
      </w:r>
      <w:r>
        <w:rPr>
          <w:bCs/>
          <w:sz w:val="28"/>
        </w:rPr>
        <w:t xml:space="preserve">ская генерация».    </w:t>
      </w:r>
    </w:p>
    <w:p>
      <w:pPr>
        <w:pStyle w:val="Normal"/>
        <w:tabs>
          <w:tab w:val="clear" w:pos="708"/>
          <w:tab w:val="left" w:pos="18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13. Рабочий проект тепловой сети и ИТП подлежит обязательному согласованию с филиалом АО «РИР Энерго» – «</w:t>
      </w:r>
      <w:r>
        <w:rPr>
          <w:sz w:val="28"/>
          <w:szCs w:val="28"/>
        </w:rPr>
        <w:t>Кур</w:t>
      </w:r>
      <w:r>
        <w:rPr>
          <w:sz w:val="28"/>
          <w:szCs w:val="28"/>
        </w:rPr>
        <w:t xml:space="preserve">ская генерация» с передачей одного согласованного экземпляра проекта в электронном виде 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Проектной организации выполнить расчет тепловых потерь на участке тепловой сети от границы балансовой принадлежности до мест установки приборов учета в тепловых пунктах объекта.</w:t>
      </w:r>
    </w:p>
    <w:p>
      <w:pPr>
        <w:pStyle w:val="Normal"/>
        <w:tabs>
          <w:tab w:val="clear" w:pos="708"/>
          <w:tab w:val="left" w:pos="1800" w:leader="none"/>
        </w:tabs>
        <w:spacing w:before="120" w:after="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15.</w:t>
      </w:r>
      <w:r>
        <w:rPr/>
        <w:t xml:space="preserve"> </w:t>
      </w:r>
      <w:r>
        <w:rPr>
          <w:sz w:val="28"/>
          <w:szCs w:val="28"/>
        </w:rPr>
        <w:t>Пункт учета тепловой энергии организовать максимально приближенно к границе раздела балансовой принадлежности «Потребителя» и «Теплоснабжающей организации»</w:t>
      </w:r>
      <w:r>
        <w:rPr>
          <w:i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Схему установки узлов учета согласовать с теплоснабжающей организацией до разработки проектной документации.</w:t>
      </w:r>
      <w:r>
        <w:rPr>
          <w:i/>
          <w:sz w:val="28"/>
          <w:szCs w:val="28"/>
        </w:rPr>
        <w:t xml:space="preserve"> Границей балансовой принадлежности и эксплуатационной ответственности между «Теплоснабжающей организацией» и «Потребителем» по тепловой сети будет ____________________________________________.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тепловом пункте объекта предусмотреть установку коммерческих приборов учета тепла, горячего водоснабжения и контроля параметров теплоносителя 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Правила коммерческого учета тепловой энергии, теплоносителя, утверждены постановлением Правительства РФ от 18.11.2013 №1034.</w:t>
      </w:r>
    </w:p>
    <w:p>
      <w:pPr>
        <w:pStyle w:val="ListParagraph"/>
        <w:tabs>
          <w:tab w:val="clear" w:pos="708"/>
          <w:tab w:val="left" w:pos="0" w:leader="none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8"/>
          <w:tab w:val="left" w:pos="0" w:leader="none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Методика осуществления коммерческого учета тепловой энергии, теплоносителя, утверждена приказом Минстроя России от 17.03.2014 №99/пр.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МИ 2813-2003 ГСИ. Учет тепловой энергии и количества теплоносителя. Алгоритмы реакции теплосчетчиков на нештатные ситуации при учете тепловой энергии.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техническим требованиям к системам и приборам учёта тепловой энергии, утверждены приказом Минпромторга от 21.01.2011 №57.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26.06.2008 №102-ФЗ «Об обеспечении единства измерений».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к средствам измерения и организации учета тепловой энергии и теплоносителя: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12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узел учета должен оборудоваться теплосчетчиками и приборами учета, типы которых внесены в Федеральный информационный фонд по обеспечению единства измерений;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12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измерений должны быть сертифицированы для работы в едином комплексе;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12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измерений должны обеспечивать измерение количества тепловой энергии и воды, израсходованной на нужды горячего водоснабжения, в соответствии с уравнениями измерений, регламентированными нормативными документами и утвержденным установленным образом;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12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теплосчетчик должен быть снабжен защитными устройствами, предотвращающими возможность разборки, перестановки или переделки теплосчетчика без очевидного повреждения защитного устройства (пломбы);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защиту термопреобразователей сопротивления, чувствительный элемент должен быть полностью погружен, стакан с чувствительным элементом должен быть заполнен маслом;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 теплосчетчика должно обеспечивать защиту от несанкционированного вмешательства в условиях эксплуатации;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вычислитель теплосчетчика должен иметь нестираемый архив, в который заносятся основные технические характеристики и настроечные коэффициенты прибора. Данные архива выводятся на дисплей прибора и (или) компьютер. Настроечные коэффициенты заносятся в паспорт прибора. Любые изменения должны фиксироваться в архиве;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в непосредственной близости от тепловычислителя предусмотреть дополнительный источник питания 220 В для подключения компьютера;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устанавливаемые первичные преобразователи расхода не должны уменьшать располагаемый перепад давлений на вводе в здание. Рекомендуется применение электромагнитных первичных преобразователей расхода. При согласовании проекта предоставить расчет гидравлических потерь;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пункт учета тепловой энергии рекомендуется оснастить системой телеметрии и дистанционного контроля с передачей данных в Службу тепловой инспекции и энергоаудита «Теплоснабжающей организации» и «Потребителю» тепловой энергии. Система телеметрии должна обеспечивать передачу показаний и архивов тепловычислителя, а также сигналов о прекращении электропитания приборов. Оплату услуг связи системы телеметрии производит потребитель. Для обеспечения работоспособности установленных приборов в ИТП рекомендуется сервисное их обслуживание;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не рекомендуется использовать первичные преобразователи расхода следующих типов: вихревые, механические, вихре-акустические;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В состав проектной документации включить следующие разделы: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общие данные;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схема электрическая питания;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схема электрическая подключения приборов комплекта теплосчетчика;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схема соединения внешних проводок;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план подключения потребителя к тепловой сети;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принципиальная схема теплового пункта с узлом учета;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план расположения оборудования узла учета тепловой энергии;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настроечная база данных, вводимая в тепловычислитель (в том числе при переходе на летний и зимний режимы работы);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схема пломбирования средств измерений и устройств, входящих в состав узла учета тепловой энергии и теплоносителя;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гидравлический расчет узла учета тепловой энергии и теплоносителя;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спецификация применяемого оборудования и материалов;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задание на проектирование узла учета с указанием заданных границ погрешности измерения тепловой энергии и массы воды, израсходованной на нужды горячего водоснабжения, утвержденное Заказчиком и согласованное с энергоснабжающей организацией;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перечень фиксируемых нештатных ситуаций с указанием алгоритма реакции теплосчетчика;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расход теплоносителя по теплопотребляющим установкам по часам суток в зимний и летний периоды. Масса (объем) теплоносителя, полученного по подающему трубопроводу и возвращенного по обратному трубопроводу за каждый час.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для узлов учета в зданиях (дополнительно) - таблица суточных и месячных расходов тепловой энергии по теплопотребляющим установкам.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Проект узла учета тепловой энергии и теплоносителя подлежит согласованию с теплоснабжающей организацией. Проектная документация предоставляется в электронном виде 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 исполнение узла учета должно обеспечивать надежную защиту его оборудования от несанкционированного доступа, возможности повреждения посторонними лицами, запаривания, затопления.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before="12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18.</w:t>
      </w:r>
      <w:r>
        <w:rPr>
          <w:b/>
          <w:bCs/>
          <w:sz w:val="28"/>
          <w:szCs w:val="28"/>
        </w:rPr>
        <w:t xml:space="preserve"> Проектные и строительно-монтажные работы выполнить в соответствии с требованиями</w:t>
      </w:r>
      <w:r>
        <w:rPr>
          <w:sz w:val="28"/>
          <w:szCs w:val="28"/>
        </w:rPr>
        <w:t xml:space="preserve"> СП 124-13330.2012 «Тепловые сети», СП 60.13330-2020 «Отопление, вентиляция и кондиционирование», СП 41.101-95 «Проектирование тепловых пунктов», СП 510.1325800.2022 «Тепловые пункты и система внутреннего теплоснабжения», СП 61.13330.2012 «Тепловая изоляция оборудования и трубопроводов»; «Правил технической эксплуатации тепловых энергоустановок» и других нормативных документов, действующих на момент выдачи технических условия, по проектированию и строительству силами специализированных организаций, имеющих допуски на выполнение данных видов работ, под техническим   надзором фиала АО «РИР Энерго» - «</w:t>
      </w:r>
      <w:r>
        <w:rPr>
          <w:sz w:val="28"/>
          <w:szCs w:val="28"/>
        </w:rPr>
        <w:t>Кур</w:t>
      </w:r>
      <w:r>
        <w:rPr>
          <w:sz w:val="28"/>
          <w:szCs w:val="28"/>
        </w:rPr>
        <w:t>ская генерация».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Срок действия технических условий 3 года с даты их выдачи, при этом в случае, если в течение 1 года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подключении, срок действия технических условий прекращается.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Разрешение на допуск в эксплуатацию теплового пункта необходимо получить в профильном отделе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«РИР Энерго» - «</w:t>
      </w:r>
      <w:r>
        <w:rPr>
          <w:sz w:val="28"/>
          <w:szCs w:val="28"/>
        </w:rPr>
        <w:t>Кур</w:t>
      </w:r>
      <w:r>
        <w:rPr>
          <w:sz w:val="28"/>
          <w:szCs w:val="28"/>
        </w:rPr>
        <w:t>ская генерация».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Технические условия подключения применяются в целях архитектурно-строительного проектирования и не являются основанием для подключения объектов Заявителя в отсутствие заключенного договора о подключении.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before="0" w:after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2" w:left="-14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управляющего директора</w:t>
      </w:r>
    </w:p>
    <w:p>
      <w:pPr>
        <w:pStyle w:val="Normal"/>
        <w:spacing w:before="0" w:after="240"/>
        <w:ind w:firstLine="142"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филиала - главный инженер</w:t>
        <w:tab/>
        <w:t xml:space="preserve">                                                            </w:t>
      </w:r>
      <w:r>
        <w:rPr>
          <w:b/>
          <w:sz w:val="28"/>
          <w:szCs w:val="28"/>
        </w:rPr>
        <w:t>____________</w:t>
      </w:r>
    </w:p>
    <w:p>
      <w:pPr>
        <w:pStyle w:val="Normal"/>
        <w:ind w:firstLine="142" w:left="-14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ind w:firstLine="709"/>
        <w:jc w:val="both"/>
        <w:rPr>
          <w:i/>
          <w:i/>
          <w:iCs/>
        </w:rPr>
      </w:pPr>
      <w:r>
        <w:rPr>
          <w:i/>
          <w:iCs/>
        </w:rPr>
        <w:t>____________</w:t>
      </w:r>
    </w:p>
    <w:p>
      <w:pPr>
        <w:pStyle w:val="Normal"/>
        <w:ind w:firstLine="709" w:left="-142"/>
        <w:jc w:val="both"/>
        <w:rPr>
          <w:i/>
          <w:i/>
          <w:iCs/>
        </w:rPr>
      </w:pPr>
      <w:r>
        <w:rPr>
          <w:i/>
          <w:iCs/>
        </w:rPr>
        <w:t>(47</w:t>
      </w:r>
      <w:r>
        <w:rPr>
          <w:i/>
          <w:iCs/>
        </w:rPr>
        <w:t>1</w:t>
      </w:r>
      <w:r>
        <w:rPr>
          <w:i/>
          <w:iCs/>
        </w:rPr>
        <w:t>2) __-__-__</w:t>
      </w:r>
    </w:p>
    <w:p>
      <w:pPr>
        <w:pStyle w:val="Normal"/>
        <w:ind w:firstLine="709" w:left="-142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 к ТУ ______</w:t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709" w:left="-142"/>
        <w:rPr/>
      </w:pPr>
      <w:r>
        <w:rPr/>
        <w:t xml:space="preserve"> </w:t>
      </w:r>
    </w:p>
    <w:p>
      <w:pPr>
        <w:pStyle w:val="Normal"/>
        <w:ind w:firstLine="709" w:left="-14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Схема подключения</w:t>
      </w:r>
    </w:p>
    <w:sectPr>
      <w:footerReference w:type="default" r:id="rId3"/>
      <w:type w:val="nextPage"/>
      <w:pgSz w:w="11906" w:h="16838"/>
      <w:pgMar w:left="1134" w:right="567" w:gutter="0" w:header="0" w:top="851" w:footer="306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center" w:pos="5102" w:leader="none"/>
        <w:tab w:val="right" w:pos="10205" w:leader="none"/>
      </w:tabs>
      <w:rPr>
        <w:rFonts w:ascii="Arial" w:hAnsi="Arial"/>
        <w:sz w:val="20"/>
      </w:rPr>
    </w:pPr>
    <w:r>
      <w:rPr>
        <w:rFonts w:ascii="Arial" w:hAnsi="Arial"/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54"/>
        </w:tabs>
        <w:ind w:left="0" w:hanging="0"/>
      </w:pPr>
      <w:rPr>
        <w:u w:val="non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988" w:hanging="420"/>
      </w:pPr>
      <w:rPr>
        <w:i w:val="false"/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 w:val="false"/>
      </w:rPr>
    </w:lvl>
  </w:abstractNum>
  <w:abstractNum w:abstractNumId="5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−"/>
      <w:lvlJc w:val="left"/>
      <w:pPr>
        <w:tabs>
          <w:tab w:val="num" w:pos="0"/>
        </w:tabs>
        <w:ind w:left="185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0a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5d020a"/>
    <w:rPr>
      <w:sz w:val="24"/>
      <w:szCs w:val="24"/>
    </w:rPr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5d020a"/>
    <w:rPr>
      <w:rFonts w:ascii="Courier New" w:hAnsi="Courier New" w:cs="Courier New"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qFormat/>
    <w:locked/>
    <w:rsid w:val="001376ae"/>
    <w:rPr>
      <w:rFonts w:ascii="Tahoma" w:hAnsi="Tahoma"/>
      <w:sz w:val="16"/>
    </w:rPr>
  </w:style>
  <w:style w:type="character" w:styleId="Style17" w:customStyle="1">
    <w:name w:val="Верхний колонтитул Знак"/>
    <w:basedOn w:val="DefaultParagraphFont"/>
    <w:uiPriority w:val="99"/>
    <w:qFormat/>
    <w:locked/>
    <w:rsid w:val="001376ae"/>
    <w:rPr>
      <w:sz w:val="24"/>
    </w:rPr>
  </w:style>
  <w:style w:type="character" w:styleId="Style18" w:customStyle="1">
    <w:name w:val="Нижний колонтитул Знак"/>
    <w:basedOn w:val="DefaultParagraphFont"/>
    <w:uiPriority w:val="99"/>
    <w:qFormat/>
    <w:locked/>
    <w:rsid w:val="007b057c"/>
    <w:rPr>
      <w:sz w:val="24"/>
    </w:rPr>
  </w:style>
  <w:style w:type="character" w:styleId="Style19" w:customStyle="1">
    <w:name w:val="ШапкаОсн"/>
    <w:uiPriority w:val="99"/>
    <w:qFormat/>
    <w:rsid w:val="0032536f"/>
    <w:rPr>
      <w:rFonts w:ascii="Arial" w:hAnsi="Arial"/>
      <w:b/>
      <w:spacing w:val="0"/>
      <w:sz w:val="18"/>
    </w:rPr>
  </w:style>
  <w:style w:type="character" w:styleId="Style20" w:customStyle="1">
    <w:name w:val="Текст таблицы Знак"/>
    <w:basedOn w:val="DefaultParagraphFont"/>
    <w:link w:val="Style26"/>
    <w:qFormat/>
    <w:rsid w:val="00c92448"/>
    <w:rPr>
      <w:rFonts w:ascii="Tahoma" w:hAnsi="Tahoma" w:eastAsia="Calibri" w:cs="Tahoma" w:eastAsiaTheme="minorHAnsi"/>
      <w:sz w:val="20"/>
      <w:u w:val="none" w:color="000000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437f1a"/>
    <w:rPr>
      <w:color w:val="80808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semiHidden/>
    <w:qFormat/>
    <w:rsid w:val="00da4d57"/>
    <w:rPr>
      <w:sz w:val="16"/>
      <w:szCs w:val="16"/>
    </w:rPr>
  </w:style>
  <w:style w:type="character" w:styleId="Style21" w:customStyle="1">
    <w:name w:val="Текст концевой сноски Знак"/>
    <w:basedOn w:val="DefaultParagraphFont"/>
    <w:uiPriority w:val="99"/>
    <w:semiHidden/>
    <w:qFormat/>
    <w:rsid w:val="006a6895"/>
    <w:rPr>
      <w:sz w:val="20"/>
      <w:szCs w:val="20"/>
    </w:rPr>
  </w:style>
  <w:style w:type="character" w:styleId="Style22">
    <w:name w:val="Символ концевой сноски"/>
    <w:uiPriority w:val="99"/>
    <w:semiHidden/>
    <w:unhideWhenUsed/>
    <w:qFormat/>
    <w:rsid w:val="006a689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081503"/>
    <w:pPr>
      <w:jc w:val="both"/>
    </w:pPr>
    <w:rPr>
      <w:szCs w:val="20"/>
    </w:rPr>
  </w:style>
  <w:style w:type="paragraph" w:styleId="List">
    <w:name w:val="List"/>
    <w:basedOn w:val="BodyText"/>
    <w:pPr/>
    <w:rPr>
      <w:rFonts w:ascii="PT Astra Serif" w:hAnsi="PT Astra Serif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PlainText">
    <w:name w:val="Plain Text"/>
    <w:basedOn w:val="Normal"/>
    <w:link w:val="Style15"/>
    <w:uiPriority w:val="99"/>
    <w:qFormat/>
    <w:rsid w:val="00081503"/>
    <w:pPr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Style16"/>
    <w:uiPriority w:val="99"/>
    <w:qFormat/>
    <w:rsid w:val="001376ae"/>
    <w:pPr/>
    <w:rPr>
      <w:rFonts w:ascii="Tahoma" w:hAnsi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rsid w:val="001376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rsid w:val="007b057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99"/>
    <w:qFormat/>
    <w:rsid w:val="006e74c0"/>
    <w:pPr/>
    <w:rPr>
      <w:b/>
      <w:bCs/>
      <w:sz w:val="20"/>
      <w:szCs w:val="20"/>
    </w:rPr>
  </w:style>
  <w:style w:type="paragraph" w:styleId="NoSpacing">
    <w:name w:val="No Spacing"/>
    <w:uiPriority w:val="99"/>
    <w:qFormat/>
    <w:rsid w:val="004968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ourier New"/>
      <w:color w:val="auto"/>
      <w:kern w:val="0"/>
      <w:sz w:val="24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2536f"/>
    <w:pPr>
      <w:spacing w:before="0" w:after="0"/>
      <w:ind w:left="720"/>
      <w:contextualSpacing/>
    </w:pPr>
    <w:rPr/>
  </w:style>
  <w:style w:type="paragraph" w:styleId="Style26" w:customStyle="1">
    <w:name w:val="Текст таблицы"/>
    <w:basedOn w:val="Normal"/>
    <w:link w:val="Style20"/>
    <w:qFormat/>
    <w:rsid w:val="00c92448"/>
    <w:pPr>
      <w:spacing w:before="120" w:after="120"/>
    </w:pPr>
    <w:rPr>
      <w:rFonts w:ascii="Tahoma" w:hAnsi="Tahoma" w:eastAsia="Calibri" w:cs="Tahoma" w:eastAsiaTheme="minorHAnsi"/>
      <w:sz w:val="20"/>
      <w:szCs w:val="22"/>
      <w:u w:val="none" w:color="000000"/>
      <w:lang w:eastAsia="en-US"/>
    </w:rPr>
  </w:style>
  <w:style w:type="paragraph" w:styleId="ConsPlusNormal" w:customStyle="1">
    <w:name w:val="ConsPlusNormal"/>
    <w:qFormat/>
    <w:rsid w:val="00437f1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7" w:customStyle="1">
    <w:name w:val="Строка разделить"/>
    <w:basedOn w:val="Normal"/>
    <w:qFormat/>
    <w:rsid w:val="00437f1a"/>
    <w:pPr>
      <w:jc w:val="center"/>
    </w:pPr>
    <w:rPr>
      <w:rFonts w:eastAsia="Calibri" w:eastAsiaTheme="minorHAnsi"/>
      <w:sz w:val="10"/>
      <w:szCs w:val="10"/>
      <w:lang w:eastAsia="en-GB"/>
    </w:rPr>
  </w:style>
  <w:style w:type="paragraph" w:styleId="BodyTextIndent3">
    <w:name w:val="Body Text Indent 3"/>
    <w:basedOn w:val="Normal"/>
    <w:link w:val="3"/>
    <w:uiPriority w:val="99"/>
    <w:semiHidden/>
    <w:unhideWhenUsed/>
    <w:qFormat/>
    <w:rsid w:val="00da4d57"/>
    <w:pPr>
      <w:spacing w:before="0" w:after="120"/>
      <w:ind w:left="283"/>
    </w:pPr>
    <w:rPr>
      <w:sz w:val="16"/>
      <w:szCs w:val="16"/>
    </w:rPr>
  </w:style>
  <w:style w:type="paragraph" w:styleId="EndnoteText">
    <w:name w:val="Endnote Text"/>
    <w:basedOn w:val="Normal"/>
    <w:link w:val="Style21"/>
    <w:uiPriority w:val="99"/>
    <w:semiHidden/>
    <w:unhideWhenUsed/>
    <w:rsid w:val="006a6895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0c43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00AC9F1BA9463CBBF87E938B995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79987-DE54-4789-865C-F1693FD314C2}"/>
      </w:docPartPr>
      <w:docPartBody>
        <w:p w:rsidR="00297ABD" w:rsidRDefault="00874B22" w:rsidP="00874B22">
          <w:pPr>
            <w:pStyle w:val="9200AC9F1BA9463CBBF87E938B9954D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F01EBEA27A541DC9E545D24BEF38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A34A0-3E00-41C4-BEA3-8B4E5A8902D5}"/>
      </w:docPartPr>
      <w:docPartBody>
        <w:p w:rsidR="00297ABD" w:rsidRDefault="00874B22" w:rsidP="00874B22">
          <w:pPr>
            <w:pStyle w:val="6F01EBEA27A541DC9E545D24BEF387D2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B22"/>
    <w:rsid w:val="00180837"/>
    <w:rsid w:val="00297ABD"/>
    <w:rsid w:val="002D10EA"/>
    <w:rsid w:val="005A11BF"/>
    <w:rsid w:val="00624CA5"/>
    <w:rsid w:val="00725FD6"/>
    <w:rsid w:val="00811CFB"/>
    <w:rsid w:val="00874B22"/>
    <w:rsid w:val="00A92738"/>
    <w:rsid w:val="00C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B22"/>
    <w:rPr>
      <w:color w:val="808080"/>
    </w:rPr>
  </w:style>
  <w:style w:type="paragraph" w:customStyle="1" w:styleId="4D0DDCEA664246E5B270FE5F38971259">
    <w:name w:val="4D0DDCEA664246E5B270FE5F38971259"/>
    <w:rsid w:val="00874B22"/>
  </w:style>
  <w:style w:type="paragraph" w:customStyle="1" w:styleId="546DF984D8B4467094AA14A17EB3FA96">
    <w:name w:val="546DF984D8B4467094AA14A17EB3FA96"/>
    <w:rsid w:val="00874B22"/>
  </w:style>
  <w:style w:type="paragraph" w:customStyle="1" w:styleId="7BF9F0D861F843E5A0EE32BB0EA8882F">
    <w:name w:val="7BF9F0D861F843E5A0EE32BB0EA8882F"/>
    <w:rsid w:val="00874B22"/>
  </w:style>
  <w:style w:type="paragraph" w:customStyle="1" w:styleId="A4658B6EB67B450BACE88943D2944566">
    <w:name w:val="A4658B6EB67B450BACE88943D2944566"/>
    <w:rsid w:val="00874B22"/>
  </w:style>
  <w:style w:type="paragraph" w:customStyle="1" w:styleId="06A2B766F1EC4421BA2AC83A5C2E5C82">
    <w:name w:val="06A2B766F1EC4421BA2AC83A5C2E5C82"/>
    <w:rsid w:val="00874B22"/>
  </w:style>
  <w:style w:type="paragraph" w:customStyle="1" w:styleId="9200AC9F1BA9463CBBF87E938B9954D6">
    <w:name w:val="9200AC9F1BA9463CBBF87E938B9954D6"/>
    <w:rsid w:val="00874B22"/>
  </w:style>
  <w:style w:type="paragraph" w:customStyle="1" w:styleId="6F01EBEA27A541DC9E545D24BEF387D2">
    <w:name w:val="6F01EBEA27A541DC9E545D24BEF387D2"/>
    <w:rsid w:val="00874B22"/>
  </w:style>
  <w:style w:type="paragraph" w:customStyle="1" w:styleId="ECEE89AA677B466D92A5F810F8E5FCB8">
    <w:name w:val="ECEE89AA677B466D92A5F810F8E5FCB8"/>
    <w:rsid w:val="00874B22"/>
  </w:style>
  <w:style w:type="paragraph" w:customStyle="1" w:styleId="72CE35B774A94832A8333A61A70CC574">
    <w:name w:val="72CE35B774A94832A8333A61A70CC574"/>
    <w:rsid w:val="00874B22"/>
  </w:style>
  <w:style w:type="paragraph" w:customStyle="1" w:styleId="B7D7AD09D6E9466C80E2A273039A3E96">
    <w:name w:val="B7D7AD09D6E9466C80E2A273039A3E96"/>
    <w:rsid w:val="00874B22"/>
  </w:style>
  <w:style w:type="paragraph" w:customStyle="1" w:styleId="920CD83A15264CEDA2289AB95646483E">
    <w:name w:val="920CD83A15264CEDA2289AB95646483E"/>
    <w:rsid w:val="00874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2E92-BACB-46FC-A6E4-0B542AEB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LibreOffice/7.6.7.2$Linux_X86_64 LibreOffice_project/60$Build-2</Application>
  <AppVersion>15.0000</AppVersion>
  <Pages>7</Pages>
  <Words>1406</Words>
  <Characters>10431</Characters>
  <CharactersWithSpaces>11800</CharactersWithSpaces>
  <Paragraphs>105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2022-09-22T06:43:00Z</dcterms:created>
  <dc:creator>Константинов Д. А.</dc:creator>
  <dc:description/>
  <dc:language>ru-RU</dc:language>
  <cp:lastModifiedBy/>
  <cp:lastPrinted>2022-11-30T05:57:00Z</cp:lastPrinted>
  <dcterms:modified xsi:type="dcterms:W3CDTF">2025-09-15T09:38:37Z</dcterms:modified>
  <cp:revision>48</cp:revision>
  <dc:subject/>
  <dc:title>Расчет отпуска тепловой энергии на отопление, горячее водоснабжение, теплоносителя потребителям ООО «ЖКК» Липецкого района за февраль 2009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