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firstLine="0" w:left="0"/>
        <w:contextualSpacing w:val="1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Филиал АО «РИР </w:t>
      </w:r>
      <w:r>
        <w:rPr>
          <w:rFonts w:ascii="Times New Roman" w:hAnsi="Times New Roman"/>
          <w:b w:val="1"/>
        </w:rPr>
        <w:t>Энерго</w:t>
      </w:r>
      <w:r>
        <w:rPr>
          <w:rFonts w:ascii="Times New Roman" w:hAnsi="Times New Roman"/>
          <w:b w:val="1"/>
        </w:rPr>
        <w:t>» - «Курская генерация»</w:t>
      </w:r>
    </w:p>
    <w:p w14:paraId="02000000">
      <w:pPr>
        <w:pStyle w:val="Style_1"/>
        <w:spacing w:after="240"/>
        <w:ind/>
        <w:contextualSpacing w:val="1"/>
        <w:jc w:val="center"/>
        <w:outlineLvl w:val="2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Отчетный период — 1 квартал 2026</w:t>
      </w:r>
      <w:r>
        <w:rPr>
          <w:rFonts w:ascii="Times New Roman" w:hAnsi="Times New Roman"/>
          <w:b w:val="1"/>
          <w:sz w:val="24"/>
        </w:rPr>
        <w:t xml:space="preserve"> года</w:t>
      </w:r>
    </w:p>
    <w:p w14:paraId="03000000">
      <w:pPr>
        <w:pStyle w:val="Style_1"/>
        <w:spacing w:after="240"/>
        <w:ind/>
        <w:contextualSpacing w:val="1"/>
        <w:jc w:val="center"/>
        <w:outlineLvl w:val="2"/>
        <w:rPr>
          <w:rFonts w:ascii="Times New Roman" w:hAnsi="Times New Roman"/>
          <w:b w:val="1"/>
          <w:sz w:val="24"/>
        </w:rPr>
      </w:pPr>
    </w:p>
    <w:p w14:paraId="04000000">
      <w:pPr>
        <w:pStyle w:val="Style_1"/>
        <w:spacing w:after="240"/>
        <w:ind/>
        <w:contextualSpacing w:val="1"/>
        <w:jc w:val="both"/>
        <w:outlineLvl w:val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Информация о наличии (об отсутствии) технической возможности подключения (технологического присоединения) к централизованной системе холодного водоснабжения, а также о </w:t>
      </w:r>
      <w:r>
        <w:rPr>
          <w:rFonts w:ascii="Times New Roman" w:hAnsi="Times New Roman"/>
          <w:sz w:val="24"/>
        </w:rPr>
        <w:t>принятии и рассмотрении заявле</w:t>
      </w:r>
      <w:bookmarkStart w:id="1" w:name="_GoBack"/>
      <w:bookmarkEnd w:id="1"/>
      <w:r>
        <w:rPr>
          <w:rFonts w:ascii="Times New Roman" w:hAnsi="Times New Roman"/>
          <w:sz w:val="24"/>
        </w:rPr>
        <w:t>ний о заключении договоров о подключении (технологическом присоединении) к централизованной системе холодного водоснабжения (в соответствии с приложением 1 к приказу ФАС России от 11.07.2023 № 450/23) (</w:t>
      </w:r>
      <w:r>
        <w:rPr>
          <w:rFonts w:ascii="Times New Roman" w:hAnsi="Times New Roman"/>
          <w:b w:val="1"/>
          <w:sz w:val="24"/>
        </w:rPr>
        <w:t>питьевая вода</w:t>
      </w:r>
      <w:r>
        <w:rPr>
          <w:rFonts w:ascii="Times New Roman" w:hAnsi="Times New Roman"/>
          <w:sz w:val="24"/>
        </w:rPr>
        <w:t>)</w:t>
      </w:r>
    </w:p>
    <w:tbl>
      <w:tblPr>
        <w:tblStyle w:val="Style_2"/>
        <w:tblInd w:type="dxa" w:w="93"/>
        <w:tblLayout w:type="fixed"/>
      </w:tblPr>
      <w:tblGrid>
        <w:gridCol w:w="936"/>
        <w:gridCol w:w="5435"/>
        <w:gridCol w:w="1425"/>
        <w:gridCol w:w="1734"/>
      </w:tblGrid>
      <w:tr>
        <w:trPr>
          <w:trHeight w:hRule="atLeast" w:val="510"/>
        </w:trPr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5000000">
            <w:pPr>
              <w:ind w:firstLine="0" w:left="0"/>
              <w:contextualSpacing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N п/п</w:t>
            </w:r>
          </w:p>
        </w:tc>
        <w:tc>
          <w:tcPr>
            <w:tcW w:type="dxa" w:w="5435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6000000">
            <w:pPr>
              <w:ind w:firstLine="0" w:left="0"/>
              <w:contextualSpacing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На</w:t>
            </w:r>
            <w:r>
              <w:rPr>
                <w:rFonts w:ascii="Times New Roman" w:hAnsi="Times New Roman"/>
                <w:sz w:val="22"/>
              </w:rPr>
              <w:t>именование параметра</w:t>
            </w:r>
          </w:p>
        </w:tc>
        <w:tc>
          <w:tcPr>
            <w:tcW w:type="dxa" w:w="1425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7000000">
            <w:pPr>
              <w:ind w:firstLine="0" w:left="0"/>
              <w:contextualSpacing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Единица измерения</w:t>
            </w:r>
          </w:p>
        </w:tc>
        <w:tc>
          <w:tcPr>
            <w:tcW w:type="dxa" w:w="1734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8000000">
            <w:pPr>
              <w:ind w:firstLine="0" w:left="0"/>
              <w:contextualSpacing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Информация</w:t>
            </w:r>
          </w:p>
        </w:tc>
      </w:tr>
      <w:tr>
        <w:trPr>
          <w:trHeight w:hRule="atLeast" w:val="315"/>
        </w:trPr>
        <w:tc>
          <w:tcPr>
            <w:tcW w:type="dxa" w:w="93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9000000">
            <w:pPr>
              <w:ind w:firstLine="0" w:left="0"/>
              <w:contextualSpacing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5435"/>
            <w:tcBorders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A000000">
            <w:pPr>
              <w:ind w:firstLine="0" w:left="0"/>
              <w:contextualSpacing w:val="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Количество поданных заявлений</w:t>
            </w:r>
          </w:p>
        </w:tc>
        <w:tc>
          <w:tcPr>
            <w:tcW w:type="dxa" w:w="1425"/>
            <w:tcBorders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B000000">
            <w:pPr>
              <w:ind w:firstLine="0" w:left="0"/>
              <w:contextualSpacing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ед.</w:t>
            </w:r>
          </w:p>
        </w:tc>
        <w:tc>
          <w:tcPr>
            <w:tcW w:type="dxa" w:w="17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C000000">
            <w:pPr>
              <w:pStyle w:val="Style_3"/>
              <w:spacing w:after="0" w:before="0" w:line="240" w:lineRule="auto"/>
              <w:ind w:firstLine="0" w:left="0" w:right="0"/>
              <w:contextualSpacing w:val="1"/>
              <w:jc w:val="center"/>
              <w:rPr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0</w:t>
            </w:r>
          </w:p>
        </w:tc>
      </w:tr>
      <w:tr>
        <w:trPr>
          <w:trHeight w:hRule="atLeast" w:val="315"/>
        </w:trPr>
        <w:tc>
          <w:tcPr>
            <w:tcW w:type="dxa" w:w="93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D000000">
            <w:pPr>
              <w:ind w:firstLine="0" w:left="0"/>
              <w:contextualSpacing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type="dxa" w:w="5435"/>
            <w:tcBorders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E000000">
            <w:pPr>
              <w:ind w:firstLine="0" w:left="0"/>
              <w:contextualSpacing w:val="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Количество исполненных заявлений</w:t>
            </w:r>
          </w:p>
        </w:tc>
        <w:tc>
          <w:tcPr>
            <w:tcW w:type="dxa" w:w="1425"/>
            <w:tcBorders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F000000">
            <w:pPr>
              <w:ind w:firstLine="0" w:left="0"/>
              <w:contextualSpacing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ед.</w:t>
            </w:r>
          </w:p>
        </w:tc>
        <w:tc>
          <w:tcPr>
            <w:tcW w:type="dxa" w:w="173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0000000">
            <w:pPr>
              <w:pStyle w:val="Style_3"/>
              <w:spacing w:after="0" w:before="0" w:line="240" w:lineRule="auto"/>
              <w:ind w:firstLine="0" w:left="0" w:right="0"/>
              <w:contextualSpacing w:val="1"/>
              <w:jc w:val="center"/>
              <w:rPr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0</w:t>
            </w:r>
          </w:p>
        </w:tc>
      </w:tr>
      <w:tr>
        <w:trPr>
          <w:trHeight w:hRule="atLeast" w:val="351"/>
        </w:trPr>
        <w:tc>
          <w:tcPr>
            <w:tcW w:type="dxa" w:w="93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1000000">
            <w:pPr>
              <w:ind w:firstLine="0" w:left="0"/>
              <w:contextualSpacing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type="dxa" w:w="5435"/>
            <w:tcBorders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2000000">
            <w:pPr>
              <w:ind w:firstLine="0" w:left="0"/>
              <w:contextualSpacing w:val="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Количество заявлений о заключении договоров о подключении (технологическом присоединении)</w:t>
            </w:r>
          </w:p>
        </w:tc>
        <w:tc>
          <w:tcPr>
            <w:tcW w:type="dxa" w:w="1425"/>
            <w:tcBorders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3000000">
            <w:pPr>
              <w:ind w:firstLine="0" w:left="0"/>
              <w:contextualSpacing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ед.</w:t>
            </w:r>
          </w:p>
        </w:tc>
        <w:tc>
          <w:tcPr>
            <w:tcW w:type="dxa" w:w="173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4000000">
            <w:pPr>
              <w:pStyle w:val="Style_3"/>
              <w:spacing w:after="0" w:before="0" w:line="240" w:lineRule="auto"/>
              <w:ind w:firstLine="0" w:left="0" w:right="0"/>
              <w:contextualSpacing w:val="1"/>
              <w:jc w:val="center"/>
              <w:rPr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0</w:t>
            </w:r>
          </w:p>
        </w:tc>
      </w:tr>
      <w:tr>
        <w:trPr>
          <w:trHeight w:hRule="atLeast" w:val="300"/>
        </w:trPr>
        <w:tc>
          <w:tcPr>
            <w:tcW w:type="dxa" w:w="93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5000000">
            <w:pPr>
              <w:ind w:firstLine="0" w:left="0"/>
              <w:contextualSpacing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type="dxa" w:w="5435"/>
            <w:tcBorders>
              <w:bottom w:color="000000" w:sz="4" w:val="single"/>
              <w:right w:color="000000" w:sz="4" w:val="single"/>
            </w:tcBorders>
            <w:shd w:fill="auto" w:val="clear"/>
          </w:tcPr>
          <w:p w14:paraId="16000000">
            <w:pPr>
              <w:ind w:firstLine="0" w:left="0"/>
              <w:contextualSpacing w:val="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Наличие свободной </w:t>
            </w:r>
            <w:r>
              <w:rPr>
                <w:rFonts w:ascii="Times New Roman" w:hAnsi="Times New Roman"/>
                <w:sz w:val="22"/>
              </w:rPr>
              <w:t xml:space="preserve">мощности (резерва мощности) на соответствующих </w:t>
            </w:r>
            <w:r>
              <w:rPr>
                <w:rFonts w:ascii="Times New Roman" w:hAnsi="Times New Roman"/>
                <w:sz w:val="22"/>
              </w:rPr>
              <w:t>объектах  централизованных</w:t>
            </w:r>
            <w:r>
              <w:rPr>
                <w:rFonts w:ascii="Times New Roman" w:hAnsi="Times New Roman"/>
                <w:sz w:val="22"/>
              </w:rPr>
              <w:t xml:space="preserve"> систем холодного водоснабжения в течение квартала, в том числе:</w:t>
            </w:r>
          </w:p>
        </w:tc>
        <w:tc>
          <w:tcPr>
            <w:tcW w:type="dxa" w:w="1425"/>
            <w:tcBorders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7000000">
            <w:pPr>
              <w:ind w:firstLine="0" w:left="0"/>
              <w:contextualSpacing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тыс. куб. м/сутки</w:t>
            </w:r>
          </w:p>
        </w:tc>
        <w:tc>
          <w:tcPr>
            <w:tcW w:type="dxa" w:w="173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8000000">
            <w:pPr>
              <w:pStyle w:val="Style_3"/>
              <w:spacing w:after="0" w:before="0" w:line="240" w:lineRule="auto"/>
              <w:ind w:firstLine="0" w:left="0" w:right="0"/>
              <w:contextualSpacing w:val="1"/>
              <w:jc w:val="center"/>
              <w:rPr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0,064</w:t>
            </w:r>
          </w:p>
        </w:tc>
      </w:tr>
      <w:tr>
        <w:trPr>
          <w:trHeight w:hRule="atLeast" w:val="491"/>
        </w:trPr>
        <w:tc>
          <w:tcPr>
            <w:tcW w:type="dxa" w:w="93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9000000">
            <w:pPr>
              <w:ind w:firstLine="0" w:left="0"/>
              <w:contextualSpacing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4.1</w:t>
            </w:r>
          </w:p>
        </w:tc>
        <w:tc>
          <w:tcPr>
            <w:tcW w:type="dxa" w:w="5435"/>
            <w:tcBorders>
              <w:bottom w:color="000000" w:sz="4" w:val="single"/>
              <w:right w:color="000000" w:sz="4" w:val="single"/>
            </w:tcBorders>
            <w:shd w:fill="auto" w:val="clear"/>
          </w:tcPr>
          <w:p w14:paraId="1A000000">
            <w:pPr>
              <w:ind w:firstLine="480" w:left="0"/>
              <w:contextualSpacing w:val="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Курская ТЭЦ-1</w:t>
            </w:r>
          </w:p>
        </w:tc>
        <w:tc>
          <w:tcPr>
            <w:tcW w:type="dxa" w:w="1425"/>
            <w:tcBorders>
              <w:bottom w:color="000000" w:sz="4" w:val="single"/>
              <w:right w:color="000000" w:sz="4" w:val="single"/>
            </w:tcBorders>
            <w:shd w:fill="auto" w:val="clear"/>
          </w:tcPr>
          <w:p w14:paraId="1B000000">
            <w:pPr>
              <w:ind w:firstLine="0" w:left="0"/>
              <w:contextualSpacing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тыс. куб. м/сутки</w:t>
            </w:r>
          </w:p>
        </w:tc>
        <w:tc>
          <w:tcPr>
            <w:tcW w:type="dxa" w:w="173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C000000">
            <w:pPr>
              <w:pStyle w:val="Style_3"/>
              <w:spacing w:after="0" w:before="0" w:line="240" w:lineRule="auto"/>
              <w:ind w:firstLine="0" w:left="0" w:right="0"/>
              <w:contextualSpacing w:val="1"/>
              <w:jc w:val="center"/>
              <w:rPr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0,064</w:t>
            </w:r>
          </w:p>
        </w:tc>
      </w:tr>
    </w:tbl>
    <w:p w14:paraId="1D000000">
      <w:pPr>
        <w:spacing w:after="240" w:before="240"/>
        <w:ind w:firstLine="0" w:left="0"/>
        <w:contextualSpacing w:val="1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>Информация о наличии (об отсутствии) технической</w:t>
      </w:r>
      <w:r>
        <w:rPr>
          <w:rFonts w:ascii="Times New Roman" w:hAnsi="Times New Roman"/>
        </w:rPr>
        <w:t xml:space="preserve"> возможности подключения (технологического присоединения) к централизованной системе холодного водоснабжения, а также о принятии и рассмотрении заявлений о заключении договоров о подключении (технологическом присоединении) к централизованной системе холодн</w:t>
      </w:r>
      <w:r>
        <w:rPr>
          <w:rFonts w:ascii="Times New Roman" w:hAnsi="Times New Roman"/>
        </w:rPr>
        <w:t>ого водоснабжения (в соответствии с приложением 1 к приказу ФАС России от 11.07.2023 № 450/23) (</w:t>
      </w:r>
      <w:r>
        <w:rPr>
          <w:rFonts w:ascii="Times New Roman" w:hAnsi="Times New Roman"/>
          <w:b w:val="1"/>
        </w:rPr>
        <w:t>техническая вода)</w:t>
      </w:r>
    </w:p>
    <w:tbl>
      <w:tblPr>
        <w:tblStyle w:val="Style_2"/>
        <w:tblInd w:type="dxa" w:w="93"/>
        <w:tblLayout w:type="fixed"/>
      </w:tblPr>
      <w:tblGrid>
        <w:gridCol w:w="936"/>
        <w:gridCol w:w="5450"/>
        <w:gridCol w:w="1425"/>
        <w:gridCol w:w="1734"/>
      </w:tblGrid>
      <w:tr>
        <w:trPr>
          <w:trHeight w:hRule="atLeast" w:val="510"/>
        </w:trPr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E000000">
            <w:pPr>
              <w:ind w:firstLine="0" w:left="0"/>
              <w:contextualSpacing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N п/п</w:t>
            </w:r>
          </w:p>
        </w:tc>
        <w:tc>
          <w:tcPr>
            <w:tcW w:type="dxa" w:w="5450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00000">
            <w:pPr>
              <w:ind w:firstLine="0" w:left="0"/>
              <w:contextualSpacing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Наименование параметра</w:t>
            </w:r>
          </w:p>
        </w:tc>
        <w:tc>
          <w:tcPr>
            <w:tcW w:type="dxa" w:w="1425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0000000">
            <w:pPr>
              <w:ind w:firstLine="0" w:left="0"/>
              <w:contextualSpacing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Единица измерения</w:t>
            </w:r>
          </w:p>
        </w:tc>
        <w:tc>
          <w:tcPr>
            <w:tcW w:type="dxa" w:w="1734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000000">
            <w:pPr>
              <w:ind w:firstLine="0" w:left="0"/>
              <w:contextualSpacing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Информация</w:t>
            </w:r>
          </w:p>
        </w:tc>
      </w:tr>
      <w:tr>
        <w:trPr>
          <w:trHeight w:hRule="atLeast" w:val="315"/>
        </w:trPr>
        <w:tc>
          <w:tcPr>
            <w:tcW w:type="dxa" w:w="93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2000000">
            <w:pPr>
              <w:ind w:firstLine="0" w:left="0"/>
              <w:contextualSpacing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5450"/>
            <w:tcBorders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3000000">
            <w:pPr>
              <w:ind w:firstLine="0" w:left="0"/>
              <w:contextualSpacing w:val="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Количество поданных заявлений</w:t>
            </w:r>
          </w:p>
        </w:tc>
        <w:tc>
          <w:tcPr>
            <w:tcW w:type="dxa" w:w="1425"/>
            <w:tcBorders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4000000">
            <w:pPr>
              <w:ind w:firstLine="0" w:left="0"/>
              <w:contextualSpacing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ед.</w:t>
            </w:r>
          </w:p>
        </w:tc>
        <w:tc>
          <w:tcPr>
            <w:tcW w:type="dxa" w:w="17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5000000">
            <w:pPr>
              <w:pStyle w:val="Style_3"/>
              <w:spacing w:after="0" w:before="0" w:line="240" w:lineRule="auto"/>
              <w:ind w:firstLine="0" w:left="0" w:right="0"/>
              <w:contextualSpacing w:val="1"/>
              <w:jc w:val="center"/>
              <w:rPr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0</w:t>
            </w:r>
          </w:p>
        </w:tc>
      </w:tr>
      <w:tr>
        <w:trPr>
          <w:trHeight w:hRule="atLeast" w:val="315"/>
        </w:trPr>
        <w:tc>
          <w:tcPr>
            <w:tcW w:type="dxa" w:w="93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6000000">
            <w:pPr>
              <w:ind w:firstLine="0" w:left="0"/>
              <w:contextualSpacing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type="dxa" w:w="5450"/>
            <w:tcBorders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7000000">
            <w:pPr>
              <w:ind w:firstLine="0" w:left="0"/>
              <w:contextualSpacing w:val="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Количество исполненных заявлений</w:t>
            </w:r>
          </w:p>
        </w:tc>
        <w:tc>
          <w:tcPr>
            <w:tcW w:type="dxa" w:w="1425"/>
            <w:tcBorders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8000000">
            <w:pPr>
              <w:ind w:firstLine="0" w:left="0"/>
              <w:contextualSpacing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ед.</w:t>
            </w:r>
          </w:p>
        </w:tc>
        <w:tc>
          <w:tcPr>
            <w:tcW w:type="dxa" w:w="173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9000000">
            <w:pPr>
              <w:pStyle w:val="Style_3"/>
              <w:spacing w:after="0" w:before="0" w:line="240" w:lineRule="auto"/>
              <w:ind w:firstLine="0" w:left="0" w:right="0"/>
              <w:contextualSpacing w:val="1"/>
              <w:jc w:val="center"/>
              <w:rPr>
                <w:color w:val="000000"/>
                <w:spacing w:val="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0</w:t>
            </w:r>
          </w:p>
        </w:tc>
      </w:tr>
      <w:tr>
        <w:trPr>
          <w:trHeight w:hRule="atLeast" w:val="525"/>
        </w:trPr>
        <w:tc>
          <w:tcPr>
            <w:tcW w:type="dxa" w:w="93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A000000">
            <w:pPr>
              <w:ind w:firstLine="0" w:left="0"/>
              <w:contextualSpacing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type="dxa" w:w="5450"/>
            <w:tcBorders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B000000">
            <w:pPr>
              <w:ind w:firstLine="0" w:left="0"/>
              <w:contextualSpacing w:val="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Количество заявлений о заключении договоров о подключении (технологическом присоединении)</w:t>
            </w:r>
          </w:p>
        </w:tc>
        <w:tc>
          <w:tcPr>
            <w:tcW w:type="dxa" w:w="1425"/>
            <w:tcBorders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C000000">
            <w:pPr>
              <w:ind w:firstLine="0" w:left="0"/>
              <w:contextualSpacing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ед.</w:t>
            </w:r>
          </w:p>
        </w:tc>
        <w:tc>
          <w:tcPr>
            <w:tcW w:type="dxa" w:w="173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D000000">
            <w:pPr>
              <w:pStyle w:val="Style_3"/>
              <w:spacing w:after="0" w:before="0" w:line="240" w:lineRule="auto"/>
              <w:ind w:firstLine="0" w:left="0" w:right="0"/>
              <w:contextualSpacing w:val="1"/>
              <w:jc w:val="center"/>
              <w:rPr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0</w:t>
            </w:r>
          </w:p>
        </w:tc>
      </w:tr>
      <w:tr>
        <w:trPr>
          <w:trHeight w:hRule="atLeast" w:val="300"/>
        </w:trPr>
        <w:tc>
          <w:tcPr>
            <w:tcW w:type="dxa" w:w="93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00000">
            <w:pPr>
              <w:ind w:firstLine="0" w:left="0"/>
              <w:contextualSpacing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type="dxa" w:w="5450"/>
            <w:tcBorders>
              <w:bottom w:color="000000" w:sz="4" w:val="single"/>
              <w:right w:color="000000" w:sz="4" w:val="single"/>
            </w:tcBorders>
            <w:shd w:fill="auto" w:val="clear"/>
          </w:tcPr>
          <w:p w14:paraId="2F000000">
            <w:pPr>
              <w:ind w:firstLine="0" w:left="0"/>
              <w:contextualSpacing w:val="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Наличие свободной мощности (резерва мощности) на соответствующих </w:t>
            </w:r>
            <w:r>
              <w:rPr>
                <w:rFonts w:ascii="Times New Roman" w:hAnsi="Times New Roman"/>
                <w:sz w:val="22"/>
              </w:rPr>
              <w:t>объектах  централизованных</w:t>
            </w:r>
            <w:r>
              <w:rPr>
                <w:rFonts w:ascii="Times New Roman" w:hAnsi="Times New Roman"/>
                <w:sz w:val="22"/>
              </w:rPr>
              <w:t xml:space="preserve"> систем водоотведения в течение квартала, в том числе:</w:t>
            </w:r>
          </w:p>
        </w:tc>
        <w:tc>
          <w:tcPr>
            <w:tcW w:type="dxa" w:w="1425"/>
            <w:tcBorders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0000000">
            <w:pPr>
              <w:ind w:firstLine="0" w:left="0"/>
              <w:contextualSpacing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тыс. куб. </w:t>
            </w:r>
            <w:r>
              <w:rPr>
                <w:rFonts w:ascii="Times New Roman" w:hAnsi="Times New Roman"/>
                <w:sz w:val="22"/>
              </w:rPr>
              <w:t>м/сутки</w:t>
            </w:r>
          </w:p>
        </w:tc>
        <w:tc>
          <w:tcPr>
            <w:tcW w:type="dxa" w:w="173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1000000">
            <w:pPr>
              <w:pStyle w:val="Style_3"/>
              <w:spacing w:after="0" w:before="0" w:line="240" w:lineRule="auto"/>
              <w:ind w:firstLine="0" w:left="0" w:right="0"/>
              <w:contextualSpacing w:val="1"/>
              <w:jc w:val="center"/>
              <w:rPr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0,924</w:t>
            </w:r>
          </w:p>
        </w:tc>
      </w:tr>
      <w:tr>
        <w:trPr>
          <w:trHeight w:hRule="atLeast" w:val="491"/>
        </w:trPr>
        <w:tc>
          <w:tcPr>
            <w:tcW w:type="dxa" w:w="93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00000">
            <w:pPr>
              <w:ind w:firstLine="0" w:left="0"/>
              <w:contextualSpacing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4.1</w:t>
            </w:r>
          </w:p>
        </w:tc>
        <w:tc>
          <w:tcPr>
            <w:tcW w:type="dxa" w:w="5450"/>
            <w:tcBorders>
              <w:bottom w:color="000000" w:sz="4" w:val="single"/>
              <w:right w:color="000000" w:sz="4" w:val="single"/>
            </w:tcBorders>
            <w:shd w:fill="auto" w:val="clear"/>
          </w:tcPr>
          <w:p w14:paraId="33000000">
            <w:pPr>
              <w:ind w:firstLine="480" w:left="0"/>
              <w:contextualSpacing w:val="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Курская ТЭЦ-1</w:t>
            </w:r>
          </w:p>
        </w:tc>
        <w:tc>
          <w:tcPr>
            <w:tcW w:type="dxa" w:w="1425"/>
            <w:tcBorders>
              <w:bottom w:color="000000" w:sz="4" w:val="single"/>
              <w:right w:color="000000" w:sz="4" w:val="single"/>
            </w:tcBorders>
            <w:shd w:fill="auto" w:val="clear"/>
          </w:tcPr>
          <w:p w14:paraId="34000000">
            <w:pPr>
              <w:ind w:firstLine="0" w:left="0"/>
              <w:contextualSpacing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тыс. куб. м/сутки</w:t>
            </w:r>
          </w:p>
        </w:tc>
        <w:tc>
          <w:tcPr>
            <w:tcW w:type="dxa" w:w="173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5000000">
            <w:pPr>
              <w:pStyle w:val="Style_3"/>
              <w:spacing w:after="0" w:before="0" w:line="240" w:lineRule="auto"/>
              <w:ind w:firstLine="0" w:left="0" w:right="0"/>
              <w:contextualSpacing w:val="1"/>
              <w:jc w:val="center"/>
              <w:rPr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0,924</w:t>
            </w:r>
          </w:p>
        </w:tc>
      </w:tr>
    </w:tbl>
    <w:p w14:paraId="36000000">
      <w:pPr>
        <w:spacing w:after="240"/>
        <w:ind w:firstLine="0" w:left="0"/>
        <w:contextualSpacing w:val="1"/>
        <w:outlineLvl w:val="2"/>
        <w:rPr>
          <w:rFonts w:ascii="Times New Roman" w:hAnsi="Times New Roman"/>
        </w:rPr>
      </w:pPr>
    </w:p>
    <w:p w14:paraId="37000000">
      <w:pPr>
        <w:spacing w:after="240"/>
        <w:ind w:firstLine="0" w:left="0"/>
        <w:contextualSpacing w:val="1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Информация о наличии (об отсутствии) технической возможности подключения (технологического присоединения) к централизованной системе водоотведения, а также о принятии и рассмотрении заявлений о </w:t>
      </w:r>
      <w:r>
        <w:rPr>
          <w:rFonts w:ascii="Times New Roman" w:hAnsi="Times New Roman"/>
        </w:rPr>
        <w:t>заключении договоров о подключении (технологическом присоединении) к централизованной системе водоотведения (в соответствии с приложением 2 к приказу ФАС России от 11.07.2023 № 450/23)</w:t>
      </w:r>
    </w:p>
    <w:tbl>
      <w:tblPr>
        <w:tblStyle w:val="Style_2"/>
        <w:tblInd w:type="dxa" w:w="93"/>
        <w:tblLayout w:type="fixed"/>
      </w:tblPr>
      <w:tblGrid>
        <w:gridCol w:w="848"/>
        <w:gridCol w:w="5553"/>
        <w:gridCol w:w="1425"/>
        <w:gridCol w:w="1734"/>
      </w:tblGrid>
      <w:tr>
        <w:trPr>
          <w:trHeight w:hRule="atLeast" w:val="510"/>
        </w:trPr>
        <w:tc>
          <w:tcPr>
            <w:tcW w:type="dxa" w:w="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N п/п</w:t>
            </w:r>
          </w:p>
        </w:tc>
        <w:tc>
          <w:tcPr>
            <w:tcW w:type="dxa" w:w="5553"/>
            <w:tcBorders>
              <w:top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Наименование параметра</w:t>
            </w:r>
          </w:p>
        </w:tc>
        <w:tc>
          <w:tcPr>
            <w:tcW w:type="dxa" w:w="1425"/>
            <w:tcBorders>
              <w:top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Единица измерения</w:t>
            </w:r>
          </w:p>
        </w:tc>
        <w:tc>
          <w:tcPr>
            <w:tcW w:type="dxa" w:w="1734"/>
            <w:tcBorders>
              <w:top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Информация</w:t>
            </w:r>
          </w:p>
        </w:tc>
      </w:tr>
      <w:tr>
        <w:trPr>
          <w:trHeight w:hRule="atLeast" w:val="315"/>
        </w:trPr>
        <w:tc>
          <w:tcPr>
            <w:tcW w:type="dxa" w:w="848"/>
            <w:tcBorders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3C00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5553"/>
            <w:tcBorders>
              <w:bottom w:color="000000" w:sz="4" w:val="single"/>
              <w:right w:color="000000" w:sz="4" w:val="single"/>
            </w:tcBorders>
            <w:vAlign w:val="bottom"/>
          </w:tcPr>
          <w:p w14:paraId="3D000000">
            <w:pPr>
              <w:ind w:firstLine="0"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Количество поданных заявлений</w:t>
            </w:r>
          </w:p>
        </w:tc>
        <w:tc>
          <w:tcPr>
            <w:tcW w:type="dxa" w:w="1425"/>
            <w:tcBorders>
              <w:bottom w:color="000000" w:sz="4" w:val="single"/>
              <w:right w:color="000000" w:sz="4" w:val="single"/>
            </w:tcBorders>
            <w:vAlign w:val="bottom"/>
          </w:tcPr>
          <w:p w14:paraId="3E00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ед.</w:t>
            </w:r>
          </w:p>
        </w:tc>
        <w:tc>
          <w:tcPr>
            <w:tcW w:type="dxa" w:w="17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F000000">
            <w:pPr>
              <w:pStyle w:val="Style_3"/>
              <w:spacing w:after="0" w:before="0" w:line="276" w:lineRule="auto"/>
              <w:ind w:firstLine="0" w:left="0" w:right="0"/>
              <w:jc w:val="center"/>
              <w:rPr>
                <w:color w:val="000000"/>
                <w:spacing w:val="0"/>
                <w:sz w:val="22"/>
                <w:shd w:fill="92FF99" w:val="clear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shd w:fill="92FF99" w:val="clear"/>
              </w:rPr>
              <w:t>0</w:t>
            </w:r>
          </w:p>
        </w:tc>
      </w:tr>
      <w:tr>
        <w:trPr>
          <w:trHeight w:hRule="atLeast" w:val="315"/>
        </w:trPr>
        <w:tc>
          <w:tcPr>
            <w:tcW w:type="dxa" w:w="848"/>
            <w:tcBorders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4000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type="dxa" w:w="5553"/>
            <w:tcBorders>
              <w:bottom w:color="000000" w:sz="4" w:val="single"/>
              <w:right w:color="000000" w:sz="4" w:val="single"/>
            </w:tcBorders>
            <w:vAlign w:val="bottom"/>
          </w:tcPr>
          <w:p w14:paraId="41000000">
            <w:pPr>
              <w:ind w:firstLine="0"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Количество исполненных заявлений</w:t>
            </w:r>
          </w:p>
        </w:tc>
        <w:tc>
          <w:tcPr>
            <w:tcW w:type="dxa" w:w="1425"/>
            <w:tcBorders>
              <w:bottom w:color="000000" w:sz="4" w:val="single"/>
              <w:right w:color="000000" w:sz="4" w:val="single"/>
            </w:tcBorders>
            <w:vAlign w:val="bottom"/>
          </w:tcPr>
          <w:p w14:paraId="4200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ед.</w:t>
            </w:r>
          </w:p>
        </w:tc>
        <w:tc>
          <w:tcPr>
            <w:tcW w:type="dxa" w:w="173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3000000">
            <w:pPr>
              <w:pStyle w:val="Style_3"/>
              <w:spacing w:after="0" w:before="0" w:line="276" w:lineRule="auto"/>
              <w:ind w:firstLine="0" w:left="0" w:right="0"/>
              <w:jc w:val="center"/>
              <w:rPr>
                <w:color w:val="000000"/>
                <w:spacing w:val="0"/>
                <w:sz w:val="22"/>
                <w:shd w:fill="92FF99" w:val="clear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shd w:fill="92FF99" w:val="clear"/>
              </w:rPr>
              <w:t>0</w:t>
            </w:r>
          </w:p>
        </w:tc>
      </w:tr>
      <w:tr>
        <w:trPr>
          <w:trHeight w:hRule="atLeast" w:val="525"/>
        </w:trPr>
        <w:tc>
          <w:tcPr>
            <w:tcW w:type="dxa" w:w="848"/>
            <w:tcBorders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4400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type="dxa" w:w="5553"/>
            <w:tcBorders>
              <w:bottom w:color="000000" w:sz="4" w:val="single"/>
              <w:right w:color="000000" w:sz="4" w:val="single"/>
            </w:tcBorders>
            <w:vAlign w:val="bottom"/>
          </w:tcPr>
          <w:p w14:paraId="45000000">
            <w:pPr>
              <w:ind w:firstLine="0"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Количество заявлений о заключении договоров о подключении (технологическом присоединении)</w:t>
            </w:r>
          </w:p>
        </w:tc>
        <w:tc>
          <w:tcPr>
            <w:tcW w:type="dxa" w:w="1425"/>
            <w:tcBorders>
              <w:bottom w:color="000000" w:sz="4" w:val="single"/>
              <w:right w:color="000000" w:sz="4" w:val="single"/>
            </w:tcBorders>
            <w:vAlign w:val="bottom"/>
          </w:tcPr>
          <w:p w14:paraId="4600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ед.</w:t>
            </w:r>
          </w:p>
        </w:tc>
        <w:tc>
          <w:tcPr>
            <w:tcW w:type="dxa" w:w="173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7000000">
            <w:pPr>
              <w:pStyle w:val="Style_3"/>
              <w:spacing w:after="0" w:before="0" w:line="276" w:lineRule="auto"/>
              <w:ind w:firstLine="0" w:left="0" w:right="0"/>
              <w:jc w:val="center"/>
              <w:rPr>
                <w:color w:val="000000"/>
                <w:spacing w:val="0"/>
                <w:sz w:val="22"/>
                <w:shd w:fill="92FF99" w:val="clear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shd w:fill="92FF99" w:val="clear"/>
              </w:rPr>
              <w:t>0</w:t>
            </w:r>
          </w:p>
        </w:tc>
      </w:tr>
      <w:tr>
        <w:trPr>
          <w:trHeight w:hRule="atLeast" w:val="491"/>
        </w:trPr>
        <w:tc>
          <w:tcPr>
            <w:tcW w:type="dxa" w:w="848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type="dxa" w:w="5553"/>
            <w:tcBorders>
              <w:bottom w:color="000000" w:sz="4" w:val="single"/>
              <w:right w:color="000000" w:sz="4" w:val="single"/>
            </w:tcBorders>
          </w:tcPr>
          <w:p w14:paraId="49000000">
            <w:pPr>
              <w:ind w:firstLine="0"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Наличие свободной </w:t>
            </w:r>
            <w:r>
              <w:rPr>
                <w:rFonts w:ascii="Times New Roman" w:hAnsi="Times New Roman"/>
                <w:sz w:val="22"/>
              </w:rPr>
              <w:t>мощности(</w:t>
            </w:r>
            <w:r>
              <w:rPr>
                <w:rFonts w:ascii="Times New Roman" w:hAnsi="Times New Roman"/>
                <w:sz w:val="22"/>
              </w:rPr>
              <w:t xml:space="preserve">резерва мощности) на соответствующих объектах  </w:t>
            </w:r>
            <w:r>
              <w:rPr>
                <w:rFonts w:ascii="Times New Roman" w:hAnsi="Times New Roman"/>
                <w:sz w:val="22"/>
              </w:rPr>
              <w:t>централизованных систем водоотведения в течение квартала, в том числе:</w:t>
            </w:r>
          </w:p>
        </w:tc>
        <w:tc>
          <w:tcPr>
            <w:tcW w:type="dxa" w:w="1425"/>
            <w:tcBorders>
              <w:bottom w:color="000000" w:sz="4" w:val="single"/>
              <w:right w:color="000000" w:sz="4" w:val="single"/>
            </w:tcBorders>
          </w:tcPr>
          <w:p w14:paraId="4A00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тыс. куб. м/сутки</w:t>
            </w:r>
          </w:p>
        </w:tc>
        <w:tc>
          <w:tcPr>
            <w:tcW w:type="dxa" w:w="173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B000000">
            <w:pPr>
              <w:pStyle w:val="Style_3"/>
              <w:spacing w:after="0" w:before="0" w:line="276" w:lineRule="auto"/>
              <w:ind w:firstLine="0" w:left="0" w:right="0"/>
              <w:jc w:val="center"/>
              <w:rPr>
                <w:color w:val="000000"/>
                <w:spacing w:val="0"/>
                <w:sz w:val="22"/>
                <w:shd w:fill="92FF99" w:val="clear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shd w:fill="92FF99" w:val="clear"/>
              </w:rPr>
              <w:t>0,06</w:t>
            </w:r>
            <w:r>
              <w:rPr>
                <w:rFonts w:ascii="Times New Roman" w:hAnsi="Times New Roman"/>
                <w:color w:val="000000"/>
                <w:spacing w:val="0"/>
                <w:sz w:val="22"/>
                <w:shd w:fill="92FF99" w:val="clear"/>
              </w:rPr>
              <w:t>6</w:t>
            </w:r>
          </w:p>
        </w:tc>
      </w:tr>
      <w:tr>
        <w:trPr>
          <w:trHeight w:hRule="atLeast" w:val="271"/>
        </w:trPr>
        <w:tc>
          <w:tcPr>
            <w:tcW w:type="dxa" w:w="848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4.1</w:t>
            </w:r>
          </w:p>
        </w:tc>
        <w:tc>
          <w:tcPr>
            <w:tcW w:type="dxa" w:w="5553"/>
            <w:tcBorders>
              <w:bottom w:color="000000" w:sz="4" w:val="single"/>
              <w:right w:color="000000" w:sz="4" w:val="single"/>
            </w:tcBorders>
          </w:tcPr>
          <w:p w14:paraId="4D000000">
            <w:pPr>
              <w:ind w:firstLine="480"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Курская ТЭЦ-1</w:t>
            </w:r>
          </w:p>
        </w:tc>
        <w:tc>
          <w:tcPr>
            <w:tcW w:type="dxa" w:w="1425"/>
            <w:tcBorders>
              <w:bottom w:color="000000" w:sz="4" w:val="single"/>
              <w:right w:color="000000" w:sz="4" w:val="single"/>
            </w:tcBorders>
          </w:tcPr>
          <w:p w14:paraId="4E00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тыс. куб. м/сутки</w:t>
            </w:r>
          </w:p>
        </w:tc>
        <w:tc>
          <w:tcPr>
            <w:tcW w:type="dxa" w:w="173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F000000">
            <w:pPr>
              <w:pStyle w:val="Style_3"/>
              <w:spacing w:after="0" w:before="0" w:line="276" w:lineRule="auto"/>
              <w:ind w:firstLine="0" w:left="0" w:right="0"/>
              <w:jc w:val="center"/>
              <w:rPr>
                <w:color w:val="000000"/>
                <w:spacing w:val="0"/>
                <w:sz w:val="22"/>
                <w:shd w:fill="92FF99" w:val="clear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shd w:fill="92FF99" w:val="clear"/>
              </w:rPr>
              <w:t>0,06</w:t>
            </w:r>
            <w:r>
              <w:rPr>
                <w:rFonts w:ascii="Times New Roman" w:hAnsi="Times New Roman"/>
                <w:color w:val="000000"/>
                <w:spacing w:val="0"/>
                <w:sz w:val="22"/>
                <w:shd w:fill="92FF99" w:val="clear"/>
              </w:rPr>
              <w:t>6</w:t>
            </w:r>
          </w:p>
        </w:tc>
      </w:tr>
    </w:tbl>
    <w:p w14:paraId="50000000">
      <w:pPr>
        <w:pStyle w:val="Style_1"/>
        <w:spacing w:after="240"/>
        <w:ind/>
        <w:contextualSpacing w:val="1"/>
        <w:jc w:val="both"/>
        <w:outlineLvl w:val="2"/>
        <w:rPr>
          <w:rFonts w:ascii="Times New Roman" w:hAnsi="Times New Roman"/>
          <w:sz w:val="24"/>
        </w:rPr>
      </w:pPr>
    </w:p>
    <w:p w14:paraId="51000000">
      <w:pPr>
        <w:ind w:firstLine="0" w:left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Начальник отдела </w:t>
      </w:r>
      <w:r>
        <w:rPr>
          <w:rFonts w:ascii="Times New Roman" w:hAnsi="Times New Roman"/>
          <w:sz w:val="26"/>
        </w:rPr>
        <w:t>ЭиР</w:t>
      </w:r>
      <w:r>
        <w:rPr>
          <w:rFonts w:ascii="Times New Roman" w:hAnsi="Times New Roman"/>
          <w:sz w:val="26"/>
        </w:rPr>
        <w:t xml:space="preserve"> ТЭЦ и МГ                                                               И.М. Шкурный</w:t>
      </w:r>
    </w:p>
    <w:sectPr>
      <w:pgSz w:h="16838" w:orient="portrait" w:w="11906"/>
      <w:pgMar w:bottom="538" w:footer="0" w:gutter="0" w:header="0" w:left="1304" w:right="567" w:top="42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0"/>
      <w:ind w:firstLine="720" w:left="0"/>
      <w:jc w:val="both"/>
    </w:pPr>
    <w:rPr>
      <w:rFonts w:ascii="Arial" w:hAnsi="Arial"/>
      <w:sz w:val="24"/>
    </w:rPr>
  </w:style>
  <w:style w:default="1" w:styleId="Style_3_ch" w:type="character">
    <w:name w:val="Normal"/>
    <w:link w:val="Style_3"/>
    <w:rPr>
      <w:rFonts w:ascii="Arial" w:hAnsi="Arial"/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Содержимое таблицы1"/>
    <w:basedOn w:val="Style_3"/>
    <w:link w:val="Style_5_ch"/>
  </w:style>
  <w:style w:styleId="Style_5_ch" w:type="character">
    <w:name w:val="Содержимое таблицы1"/>
    <w:basedOn w:val="Style_3_ch"/>
    <w:link w:val="Style_5"/>
  </w:style>
  <w:style w:styleId="Style_6" w:type="paragraph">
    <w:name w:val="Title1"/>
    <w:link w:val="Style_6_ch"/>
    <w:rPr>
      <w:rFonts w:ascii="XO Thames" w:hAnsi="XO Thames"/>
      <w:b w:val="1"/>
      <w:caps w:val="1"/>
      <w:sz w:val="40"/>
    </w:rPr>
  </w:style>
  <w:style w:styleId="Style_6_ch" w:type="character">
    <w:name w:val="Title1"/>
    <w:link w:val="Style_6"/>
    <w:rPr>
      <w:rFonts w:ascii="XO Thames" w:hAnsi="XO Thames"/>
      <w:b w:val="1"/>
      <w:caps w:val="1"/>
      <w:sz w:val="40"/>
    </w:rPr>
  </w:style>
  <w:style w:styleId="Style_7" w:type="paragraph">
    <w:name w:val="toc 4"/>
    <w:next w:val="Style_3"/>
    <w:link w:val="Style_7_ch"/>
    <w:uiPriority w:val="39"/>
    <w:pPr>
      <w:ind w:firstLine="0" w:left="600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3"/>
    <w:link w:val="Style_8_ch"/>
    <w:uiPriority w:val="39"/>
    <w:pPr>
      <w:ind w:firstLine="0" w:left="1000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3"/>
    <w:link w:val="Style_9_ch"/>
    <w:uiPriority w:val="39"/>
    <w:pPr>
      <w:ind w:firstLine="0" w:left="1200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index heading"/>
    <w:basedOn w:val="Style_3"/>
    <w:link w:val="Style_10_ch"/>
    <w:rPr>
      <w:rFonts w:ascii="PT Astra Serif" w:hAnsi="PT Astra Serif"/>
    </w:rPr>
  </w:style>
  <w:style w:styleId="Style_10_ch" w:type="character">
    <w:name w:val="index heading"/>
    <w:basedOn w:val="Style_3_ch"/>
    <w:link w:val="Style_10"/>
    <w:rPr>
      <w:rFonts w:ascii="PT Astra Serif" w:hAnsi="PT Astra Serif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3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Heading 11"/>
    <w:link w:val="Style_13_ch"/>
    <w:rPr>
      <w:rFonts w:ascii="XO Thames" w:hAnsi="XO Thames"/>
      <w:b w:val="1"/>
      <w:sz w:val="32"/>
    </w:rPr>
  </w:style>
  <w:style w:styleId="Style_13_ch" w:type="character">
    <w:name w:val="Heading 11"/>
    <w:link w:val="Style_13"/>
    <w:rPr>
      <w:rFonts w:ascii="XO Thames" w:hAnsi="XO Thames"/>
      <w:b w:val="1"/>
      <w:sz w:val="32"/>
    </w:rPr>
  </w:style>
  <w:style w:styleId="Style_14" w:type="paragraph">
    <w:name w:val="Contents 8"/>
    <w:link w:val="Style_14_ch"/>
    <w:rPr>
      <w:rFonts w:ascii="XO Thames" w:hAnsi="XO Thames"/>
      <w:sz w:val="28"/>
    </w:rPr>
  </w:style>
  <w:style w:styleId="Style_14_ch" w:type="character">
    <w:name w:val="Contents 8"/>
    <w:link w:val="Style_14"/>
    <w:rPr>
      <w:rFonts w:ascii="XO Thames" w:hAnsi="XO Thames"/>
      <w:sz w:val="28"/>
    </w:rPr>
  </w:style>
  <w:style w:styleId="Style_15" w:type="paragraph">
    <w:name w:val="Contents 6"/>
    <w:link w:val="Style_15_ch"/>
    <w:rPr>
      <w:rFonts w:ascii="XO Thames" w:hAnsi="XO Thames"/>
      <w:sz w:val="28"/>
    </w:rPr>
  </w:style>
  <w:style w:styleId="Style_15_ch" w:type="character">
    <w:name w:val="Contents 6"/>
    <w:link w:val="Style_15"/>
    <w:rPr>
      <w:rFonts w:ascii="XO Thames" w:hAnsi="XO Thames"/>
      <w:sz w:val="28"/>
    </w:rPr>
  </w:style>
  <w:style w:styleId="Style_16" w:type="paragraph">
    <w:name w:val="Contents 2"/>
    <w:link w:val="Style_16_ch"/>
    <w:rPr>
      <w:rFonts w:ascii="XO Thames" w:hAnsi="XO Thames"/>
      <w:sz w:val="28"/>
    </w:rPr>
  </w:style>
  <w:style w:styleId="Style_16_ch" w:type="character">
    <w:name w:val="Contents 2"/>
    <w:link w:val="Style_16"/>
    <w:rPr>
      <w:rFonts w:ascii="XO Thames" w:hAnsi="XO Thames"/>
      <w:sz w:val="28"/>
    </w:rPr>
  </w:style>
  <w:style w:styleId="Style_17" w:type="paragraph">
    <w:name w:val="Contents 7"/>
    <w:link w:val="Style_17_ch"/>
    <w:rPr>
      <w:rFonts w:ascii="XO Thames" w:hAnsi="XO Thames"/>
      <w:sz w:val="28"/>
    </w:rPr>
  </w:style>
  <w:style w:styleId="Style_17_ch" w:type="character">
    <w:name w:val="Contents 7"/>
    <w:link w:val="Style_17"/>
    <w:rPr>
      <w:rFonts w:ascii="XO Thames" w:hAnsi="XO Thames"/>
      <w:sz w:val="28"/>
    </w:rPr>
  </w:style>
  <w:style w:styleId="Style_18" w:type="paragraph">
    <w:name w:val="Contents 1"/>
    <w:link w:val="Style_18_ch"/>
    <w:rPr>
      <w:rFonts w:ascii="XO Thames" w:hAnsi="XO Thames"/>
      <w:b w:val="1"/>
      <w:sz w:val="28"/>
    </w:rPr>
  </w:style>
  <w:style w:styleId="Style_18_ch" w:type="character">
    <w:name w:val="Contents 1"/>
    <w:link w:val="Style_18"/>
    <w:rPr>
      <w:rFonts w:ascii="XO Thames" w:hAnsi="XO Thames"/>
      <w:b w:val="1"/>
      <w:sz w:val="28"/>
    </w:rPr>
  </w:style>
  <w:style w:styleId="Style_19" w:type="paragraph">
    <w:name w:val="Гиперссылка11"/>
    <w:link w:val="Style_19_ch"/>
    <w:rPr>
      <w:rFonts w:ascii="Calibri" w:hAnsi="Calibri"/>
      <w:color w:val="0000FF"/>
      <w:u w:val="single"/>
    </w:rPr>
  </w:style>
  <w:style w:styleId="Style_19_ch" w:type="character">
    <w:name w:val="Гиперссылка11"/>
    <w:link w:val="Style_19"/>
    <w:rPr>
      <w:rFonts w:ascii="Calibri" w:hAnsi="Calibri"/>
      <w:color w:val="0000FF"/>
      <w:u w:val="single"/>
    </w:rPr>
  </w:style>
  <w:style w:styleId="Style_20" w:type="paragraph">
    <w:name w:val="Contents 5"/>
    <w:link w:val="Style_20_ch"/>
    <w:rPr>
      <w:rFonts w:ascii="XO Thames" w:hAnsi="XO Thames"/>
      <w:sz w:val="28"/>
    </w:rPr>
  </w:style>
  <w:style w:styleId="Style_20_ch" w:type="character">
    <w:name w:val="Contents 5"/>
    <w:link w:val="Style_20"/>
    <w:rPr>
      <w:rFonts w:ascii="XO Thames" w:hAnsi="XO Thames"/>
      <w:sz w:val="28"/>
    </w:rPr>
  </w:style>
  <w:style w:styleId="Style_21" w:type="paragraph">
    <w:name w:val="List1"/>
    <w:basedOn w:val="Style_22"/>
    <w:link w:val="Style_21_ch"/>
    <w:rPr>
      <w:rFonts w:ascii="PT Astra Serif" w:hAnsi="PT Astra Serif"/>
    </w:rPr>
  </w:style>
  <w:style w:styleId="Style_21_ch" w:type="character">
    <w:name w:val="List1"/>
    <w:basedOn w:val="Style_22_ch"/>
    <w:link w:val="Style_21"/>
    <w:rPr>
      <w:rFonts w:ascii="PT Astra Serif" w:hAnsi="PT Astra Serif"/>
    </w:rPr>
  </w:style>
  <w:style w:styleId="Style_23" w:type="paragraph">
    <w:name w:val="caption"/>
    <w:basedOn w:val="Style_3"/>
    <w:link w:val="Style_23_ch"/>
    <w:pPr>
      <w:spacing w:after="120" w:before="120"/>
      <w:ind/>
    </w:pPr>
    <w:rPr>
      <w:rFonts w:ascii="PT Astra Serif" w:hAnsi="PT Astra Serif"/>
      <w:i w:val="1"/>
    </w:rPr>
  </w:style>
  <w:style w:styleId="Style_23_ch" w:type="character">
    <w:name w:val="caption"/>
    <w:basedOn w:val="Style_3_ch"/>
    <w:link w:val="Style_23"/>
    <w:rPr>
      <w:rFonts w:ascii="PT Astra Serif" w:hAnsi="PT Astra Serif"/>
      <w:i w:val="1"/>
    </w:rPr>
  </w:style>
  <w:style w:styleId="Style_24" w:type="paragraph">
    <w:name w:val="Default Paragraph Font1"/>
    <w:link w:val="Style_24_ch"/>
  </w:style>
  <w:style w:styleId="Style_24_ch" w:type="character">
    <w:name w:val="Default Paragraph Font1"/>
    <w:link w:val="Style_24"/>
  </w:style>
  <w:style w:styleId="Style_25" w:type="paragraph">
    <w:name w:val="Footnote1"/>
    <w:link w:val="Style_25_ch"/>
    <w:pPr>
      <w:ind w:firstLine="851" w:left="0"/>
      <w:jc w:val="both"/>
    </w:pPr>
    <w:rPr>
      <w:rFonts w:ascii="XO Thames" w:hAnsi="XO Thames"/>
    </w:rPr>
  </w:style>
  <w:style w:styleId="Style_25_ch" w:type="character">
    <w:name w:val="Footnote1"/>
    <w:link w:val="Style_25"/>
    <w:rPr>
      <w:rFonts w:ascii="XO Thames" w:hAnsi="XO Thames"/>
    </w:rPr>
  </w:style>
  <w:style w:styleId="Style_26" w:type="paragraph">
    <w:name w:val="toc 3"/>
    <w:next w:val="Style_3"/>
    <w:link w:val="Style_26_ch"/>
    <w:uiPriority w:val="39"/>
    <w:pPr>
      <w:ind w:firstLine="0" w:left="400"/>
    </w:pPr>
    <w:rPr>
      <w:rFonts w:ascii="XO Thames" w:hAnsi="XO Thames"/>
      <w:sz w:val="28"/>
    </w:rPr>
  </w:style>
  <w:style w:styleId="Style_26_ch" w:type="character">
    <w:name w:val="toc 3"/>
    <w:link w:val="Style_26"/>
    <w:rPr>
      <w:rFonts w:ascii="XO Thames" w:hAnsi="XO Thames"/>
      <w:sz w:val="28"/>
    </w:rPr>
  </w:style>
  <w:style w:styleId="Style_27" w:type="paragraph">
    <w:name w:val="caption2"/>
    <w:basedOn w:val="Style_3"/>
    <w:link w:val="Style_27_ch"/>
    <w:pPr>
      <w:spacing w:after="120" w:before="120"/>
      <w:ind/>
    </w:pPr>
    <w:rPr>
      <w:rFonts w:ascii="PT Astra Serif" w:hAnsi="PT Astra Serif"/>
      <w:i w:val="1"/>
    </w:rPr>
  </w:style>
  <w:style w:styleId="Style_27_ch" w:type="character">
    <w:name w:val="caption2"/>
    <w:basedOn w:val="Style_3_ch"/>
    <w:link w:val="Style_27"/>
    <w:rPr>
      <w:rFonts w:ascii="PT Astra Serif" w:hAnsi="PT Astra Serif"/>
      <w:i w:val="1"/>
    </w:rPr>
  </w:style>
  <w:style w:styleId="Style_28" w:type="paragraph">
    <w:name w:val="Обычный11"/>
    <w:link w:val="Style_28_ch"/>
    <w:rPr>
      <w:rFonts w:ascii="Arial" w:hAnsi="Arial"/>
      <w:sz w:val="24"/>
    </w:rPr>
  </w:style>
  <w:style w:styleId="Style_28_ch" w:type="character">
    <w:name w:val="Обычный11"/>
    <w:link w:val="Style_28"/>
    <w:rPr>
      <w:rFonts w:ascii="Arial" w:hAnsi="Arial"/>
      <w:sz w:val="24"/>
    </w:rPr>
  </w:style>
  <w:style w:styleId="Style_29" w:type="paragraph">
    <w:name w:val="heading 5"/>
    <w:next w:val="Style_3"/>
    <w:link w:val="Style_2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29_ch" w:type="character">
    <w:name w:val="heading 5"/>
    <w:link w:val="Style_29"/>
    <w:rPr>
      <w:rFonts w:ascii="XO Thames" w:hAnsi="XO Thames"/>
      <w:b w:val="1"/>
    </w:rPr>
  </w:style>
  <w:style w:styleId="Style_22" w:type="paragraph">
    <w:name w:val="Text body"/>
    <w:link w:val="Style_22_ch"/>
  </w:style>
  <w:style w:styleId="Style_22_ch" w:type="character">
    <w:name w:val="Text body"/>
    <w:link w:val="Style_22"/>
  </w:style>
  <w:style w:styleId="Style_30" w:type="paragraph">
    <w:name w:val="heading 1"/>
    <w:next w:val="Style_3"/>
    <w:link w:val="Style_3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30_ch" w:type="character">
    <w:name w:val="heading 1"/>
    <w:link w:val="Style_30"/>
    <w:rPr>
      <w:rFonts w:ascii="XO Thames" w:hAnsi="XO Thames"/>
      <w:b w:val="1"/>
      <w:sz w:val="32"/>
    </w:rPr>
  </w:style>
  <w:style w:styleId="Style_31" w:type="paragraph">
    <w:name w:val="Hyperlink"/>
    <w:link w:val="Style_31_ch"/>
    <w:rPr>
      <w:color w:val="0000FF"/>
      <w:u w:val="single"/>
    </w:rPr>
  </w:style>
  <w:style w:styleId="Style_31_ch" w:type="character">
    <w:name w:val="Hyperlink"/>
    <w:link w:val="Style_31"/>
    <w:rPr>
      <w:color w:val="0000FF"/>
      <w:u w:val="single"/>
    </w:rPr>
  </w:style>
  <w:style w:styleId="Style_32" w:type="paragraph">
    <w:name w:val="Footnote"/>
    <w:link w:val="Style_32_ch"/>
    <w:pPr>
      <w:ind w:firstLine="851" w:left="0"/>
      <w:jc w:val="both"/>
    </w:pPr>
    <w:rPr>
      <w:rFonts w:ascii="XO Thames" w:hAnsi="XO Thames"/>
      <w:sz w:val="22"/>
    </w:rPr>
  </w:style>
  <w:style w:styleId="Style_32_ch" w:type="character">
    <w:name w:val="Footnote"/>
    <w:link w:val="Style_32"/>
    <w:rPr>
      <w:rFonts w:ascii="XO Thames" w:hAnsi="XO Thames"/>
      <w:sz w:val="22"/>
    </w:rPr>
  </w:style>
  <w:style w:styleId="Style_33" w:type="paragraph">
    <w:name w:val="toc 1"/>
    <w:next w:val="Style_3"/>
    <w:link w:val="Style_33_ch"/>
    <w:uiPriority w:val="39"/>
    <w:rPr>
      <w:rFonts w:ascii="XO Thames" w:hAnsi="XO Thames"/>
      <w:b w:val="1"/>
      <w:sz w:val="28"/>
    </w:rPr>
  </w:style>
  <w:style w:styleId="Style_33_ch" w:type="character">
    <w:name w:val="toc 1"/>
    <w:link w:val="Style_33"/>
    <w:rPr>
      <w:rFonts w:ascii="XO Thames" w:hAnsi="XO Thames"/>
      <w:b w:val="1"/>
      <w:sz w:val="28"/>
    </w:rPr>
  </w:style>
  <w:style w:styleId="Style_1" w:type="paragraph">
    <w:name w:val="ConsPlusNormal1"/>
    <w:link w:val="Style_1_ch"/>
    <w:pPr>
      <w:widowControl w:val="0"/>
      <w:ind/>
    </w:pPr>
  </w:style>
  <w:style w:styleId="Style_1_ch" w:type="character">
    <w:name w:val="ConsPlusNormal1"/>
    <w:link w:val="Style_1"/>
  </w:style>
  <w:style w:styleId="Style_34" w:type="paragraph">
    <w:name w:val="Header and Footer"/>
    <w:link w:val="Style_34_ch"/>
    <w:rPr>
      <w:rFonts w:ascii="XO Thames" w:hAnsi="XO Thames"/>
      <w:sz w:val="20"/>
    </w:rPr>
  </w:style>
  <w:style w:styleId="Style_34_ch" w:type="character">
    <w:name w:val="Header and Footer"/>
    <w:link w:val="Style_34"/>
    <w:rPr>
      <w:rFonts w:ascii="XO Thames" w:hAnsi="XO Thames"/>
      <w:sz w:val="20"/>
    </w:rPr>
  </w:style>
  <w:style w:styleId="Style_35" w:type="paragraph">
    <w:name w:val="Subtitle1"/>
    <w:link w:val="Style_35_ch"/>
    <w:rPr>
      <w:rFonts w:ascii="XO Thames" w:hAnsi="XO Thames"/>
      <w:i w:val="1"/>
      <w:sz w:val="24"/>
    </w:rPr>
  </w:style>
  <w:style w:styleId="Style_35_ch" w:type="character">
    <w:name w:val="Subtitle1"/>
    <w:link w:val="Style_35"/>
    <w:rPr>
      <w:rFonts w:ascii="XO Thames" w:hAnsi="XO Thames"/>
      <w:i w:val="1"/>
      <w:sz w:val="24"/>
    </w:rPr>
  </w:style>
  <w:style w:styleId="Style_36" w:type="paragraph">
    <w:name w:val="Internet link"/>
    <w:link w:val="Style_36_ch"/>
    <w:rPr>
      <w:rFonts w:ascii="Calibri" w:hAnsi="Calibri"/>
      <w:color w:val="0000FF"/>
      <w:u w:val="single"/>
    </w:rPr>
  </w:style>
  <w:style w:styleId="Style_36_ch" w:type="character">
    <w:name w:val="Internet link"/>
    <w:link w:val="Style_36"/>
    <w:rPr>
      <w:rFonts w:ascii="Calibri" w:hAnsi="Calibri"/>
      <w:color w:val="0000FF"/>
      <w:u w:val="single"/>
    </w:rPr>
  </w:style>
  <w:style w:styleId="Style_37" w:type="paragraph">
    <w:name w:val="Contents 3"/>
    <w:link w:val="Style_37_ch"/>
    <w:rPr>
      <w:rFonts w:ascii="XO Thames" w:hAnsi="XO Thames"/>
      <w:sz w:val="28"/>
    </w:rPr>
  </w:style>
  <w:style w:styleId="Style_37_ch" w:type="character">
    <w:name w:val="Contents 3"/>
    <w:link w:val="Style_37"/>
    <w:rPr>
      <w:rFonts w:ascii="XO Thames" w:hAnsi="XO Thames"/>
      <w:sz w:val="28"/>
    </w:rPr>
  </w:style>
  <w:style w:styleId="Style_38" w:type="paragraph">
    <w:name w:val="toc 9"/>
    <w:next w:val="Style_3"/>
    <w:link w:val="Style_38_ch"/>
    <w:uiPriority w:val="39"/>
    <w:pPr>
      <w:ind w:firstLine="0" w:left="1600"/>
    </w:pPr>
    <w:rPr>
      <w:rFonts w:ascii="XO Thames" w:hAnsi="XO Thames"/>
      <w:sz w:val="28"/>
    </w:rPr>
  </w:style>
  <w:style w:styleId="Style_38_ch" w:type="character">
    <w:name w:val="toc 9"/>
    <w:link w:val="Style_38"/>
    <w:rPr>
      <w:rFonts w:ascii="XO Thames" w:hAnsi="XO Thames"/>
      <w:sz w:val="28"/>
    </w:rPr>
  </w:style>
  <w:style w:styleId="Style_39" w:type="paragraph">
    <w:name w:val="Default Paragraph Font"/>
    <w:link w:val="Style_39_ch"/>
  </w:style>
  <w:style w:styleId="Style_39_ch" w:type="character">
    <w:name w:val="Default Paragraph Font"/>
    <w:link w:val="Style_39"/>
  </w:style>
  <w:style w:styleId="Style_40" w:type="paragraph">
    <w:name w:val="Contents 9"/>
    <w:link w:val="Style_40_ch"/>
    <w:rPr>
      <w:rFonts w:ascii="XO Thames" w:hAnsi="XO Thames"/>
      <w:sz w:val="28"/>
    </w:rPr>
  </w:style>
  <w:style w:styleId="Style_40_ch" w:type="character">
    <w:name w:val="Contents 9"/>
    <w:link w:val="Style_40"/>
    <w:rPr>
      <w:rFonts w:ascii="XO Thames" w:hAnsi="XO Thames"/>
      <w:sz w:val="28"/>
    </w:rPr>
  </w:style>
  <w:style w:styleId="Style_41" w:type="paragraph">
    <w:name w:val="Body Text"/>
    <w:basedOn w:val="Style_3"/>
    <w:link w:val="Style_41_ch"/>
    <w:pPr>
      <w:spacing w:after="140" w:line="276" w:lineRule="auto"/>
      <w:ind/>
    </w:pPr>
  </w:style>
  <w:style w:styleId="Style_41_ch" w:type="character">
    <w:name w:val="Body Text"/>
    <w:basedOn w:val="Style_3_ch"/>
    <w:link w:val="Style_41"/>
  </w:style>
  <w:style w:styleId="Style_42" w:type="paragraph">
    <w:name w:val="Heading 41"/>
    <w:link w:val="Style_42_ch"/>
    <w:rPr>
      <w:rFonts w:ascii="XO Thames" w:hAnsi="XO Thames"/>
      <w:b w:val="1"/>
      <w:sz w:val="24"/>
    </w:rPr>
  </w:style>
  <w:style w:styleId="Style_42_ch" w:type="character">
    <w:name w:val="Heading 41"/>
    <w:link w:val="Style_42"/>
    <w:rPr>
      <w:rFonts w:ascii="XO Thames" w:hAnsi="XO Thames"/>
      <w:b w:val="1"/>
      <w:sz w:val="24"/>
    </w:rPr>
  </w:style>
  <w:style w:styleId="Style_43" w:type="paragraph">
    <w:name w:val="toc 8"/>
    <w:next w:val="Style_3"/>
    <w:link w:val="Style_43_ch"/>
    <w:uiPriority w:val="39"/>
    <w:pPr>
      <w:ind w:firstLine="0" w:left="1400"/>
    </w:pPr>
    <w:rPr>
      <w:rFonts w:ascii="XO Thames" w:hAnsi="XO Thames"/>
      <w:sz w:val="28"/>
    </w:rPr>
  </w:style>
  <w:style w:styleId="Style_43_ch" w:type="character">
    <w:name w:val="toc 8"/>
    <w:link w:val="Style_43"/>
    <w:rPr>
      <w:rFonts w:ascii="XO Thames" w:hAnsi="XO Thames"/>
      <w:sz w:val="28"/>
    </w:rPr>
  </w:style>
  <w:style w:styleId="Style_44" w:type="paragraph">
    <w:name w:val="Heading 21"/>
    <w:link w:val="Style_44_ch"/>
    <w:rPr>
      <w:rFonts w:ascii="XO Thames" w:hAnsi="XO Thames"/>
      <w:b w:val="1"/>
      <w:sz w:val="28"/>
    </w:rPr>
  </w:style>
  <w:style w:styleId="Style_44_ch" w:type="character">
    <w:name w:val="Heading 21"/>
    <w:link w:val="Style_44"/>
    <w:rPr>
      <w:rFonts w:ascii="XO Thames" w:hAnsi="XO Thames"/>
      <w:b w:val="1"/>
      <w:sz w:val="28"/>
    </w:rPr>
  </w:style>
  <w:style w:styleId="Style_45" w:type="paragraph">
    <w:name w:val="Основной шрифт абзаца11"/>
    <w:link w:val="Style_45_ch"/>
  </w:style>
  <w:style w:styleId="Style_45_ch" w:type="character">
    <w:name w:val="Основной шрифт абзаца11"/>
    <w:link w:val="Style_45"/>
  </w:style>
  <w:style w:styleId="Style_46" w:type="paragraph">
    <w:name w:val="Колонтитул"/>
    <w:link w:val="Style_46_ch"/>
    <w:pPr>
      <w:ind/>
      <w:jc w:val="both"/>
    </w:pPr>
    <w:rPr>
      <w:rFonts w:ascii="XO Thames" w:hAnsi="XO Thames"/>
      <w:sz w:val="20"/>
    </w:rPr>
  </w:style>
  <w:style w:styleId="Style_46_ch" w:type="character">
    <w:name w:val="Колонтитул"/>
    <w:link w:val="Style_46"/>
    <w:rPr>
      <w:rFonts w:ascii="XO Thames" w:hAnsi="XO Thames"/>
      <w:sz w:val="20"/>
    </w:rPr>
  </w:style>
  <w:style w:styleId="Style_47" w:type="paragraph">
    <w:name w:val="toc 5"/>
    <w:next w:val="Style_3"/>
    <w:link w:val="Style_47_ch"/>
    <w:uiPriority w:val="39"/>
    <w:pPr>
      <w:ind w:firstLine="0" w:left="800"/>
    </w:pPr>
    <w:rPr>
      <w:rFonts w:ascii="XO Thames" w:hAnsi="XO Thames"/>
      <w:sz w:val="28"/>
    </w:rPr>
  </w:style>
  <w:style w:styleId="Style_47_ch" w:type="character">
    <w:name w:val="toc 5"/>
    <w:link w:val="Style_47"/>
    <w:rPr>
      <w:rFonts w:ascii="XO Thames" w:hAnsi="XO Thames"/>
      <w:sz w:val="28"/>
    </w:rPr>
  </w:style>
  <w:style w:styleId="Style_48" w:type="paragraph">
    <w:name w:val="index heading1"/>
    <w:basedOn w:val="Style_3"/>
    <w:link w:val="Style_48_ch"/>
    <w:rPr>
      <w:rFonts w:ascii="PT Astra Serif" w:hAnsi="PT Astra Serif"/>
    </w:rPr>
  </w:style>
  <w:style w:styleId="Style_48_ch" w:type="character">
    <w:name w:val="index heading1"/>
    <w:basedOn w:val="Style_3_ch"/>
    <w:link w:val="Style_48"/>
    <w:rPr>
      <w:rFonts w:ascii="PT Astra Serif" w:hAnsi="PT Astra Serif"/>
    </w:rPr>
  </w:style>
  <w:style w:styleId="Style_49" w:type="paragraph">
    <w:name w:val="Заголовок1"/>
    <w:basedOn w:val="Style_3"/>
    <w:next w:val="Style_41"/>
    <w:link w:val="Style_49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49_ch" w:type="character">
    <w:name w:val="Заголовок1"/>
    <w:basedOn w:val="Style_3_ch"/>
    <w:link w:val="Style_49"/>
    <w:rPr>
      <w:rFonts w:ascii="PT Astra Serif" w:hAnsi="PT Astra Serif"/>
      <w:sz w:val="28"/>
    </w:rPr>
  </w:style>
  <w:style w:styleId="Style_50" w:type="paragraph">
    <w:name w:val="Заголовок таблицы1"/>
    <w:basedOn w:val="Style_5"/>
    <w:link w:val="Style_50_ch"/>
    <w:pPr>
      <w:ind/>
      <w:jc w:val="center"/>
    </w:pPr>
    <w:rPr>
      <w:b w:val="1"/>
    </w:rPr>
  </w:style>
  <w:style w:styleId="Style_50_ch" w:type="character">
    <w:name w:val="Заголовок таблицы1"/>
    <w:basedOn w:val="Style_5_ch"/>
    <w:link w:val="Style_50"/>
    <w:rPr>
      <w:b w:val="1"/>
    </w:rPr>
  </w:style>
  <w:style w:styleId="Style_51" w:type="paragraph">
    <w:name w:val="Subtitle"/>
    <w:next w:val="Style_3"/>
    <w:link w:val="Style_5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51_ch" w:type="character">
    <w:name w:val="Subtitle"/>
    <w:link w:val="Style_51"/>
    <w:rPr>
      <w:rFonts w:ascii="XO Thames" w:hAnsi="XO Thames"/>
      <w:i w:val="1"/>
      <w:sz w:val="24"/>
    </w:rPr>
  </w:style>
  <w:style w:styleId="Style_52" w:type="paragraph">
    <w:name w:val="Endnote1"/>
    <w:link w:val="Style_52_ch"/>
    <w:pPr>
      <w:ind w:firstLine="851" w:left="0"/>
      <w:jc w:val="both"/>
    </w:pPr>
    <w:rPr>
      <w:rFonts w:ascii="XO Thames" w:hAnsi="XO Thames"/>
    </w:rPr>
  </w:style>
  <w:style w:styleId="Style_52_ch" w:type="character">
    <w:name w:val="Endnote1"/>
    <w:link w:val="Style_52"/>
    <w:rPr>
      <w:rFonts w:ascii="XO Thames" w:hAnsi="XO Thames"/>
    </w:rPr>
  </w:style>
  <w:style w:styleId="Style_53" w:type="paragraph">
    <w:name w:val="Contents 4"/>
    <w:link w:val="Style_53_ch"/>
    <w:rPr>
      <w:rFonts w:ascii="XO Thames" w:hAnsi="XO Thames"/>
      <w:sz w:val="28"/>
    </w:rPr>
  </w:style>
  <w:style w:styleId="Style_53_ch" w:type="character">
    <w:name w:val="Contents 4"/>
    <w:link w:val="Style_53"/>
    <w:rPr>
      <w:rFonts w:ascii="XO Thames" w:hAnsi="XO Thames"/>
      <w:sz w:val="28"/>
    </w:rPr>
  </w:style>
  <w:style w:styleId="Style_54" w:type="paragraph">
    <w:name w:val="Title"/>
    <w:next w:val="Style_3"/>
    <w:link w:val="Style_5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4_ch" w:type="character">
    <w:name w:val="Title"/>
    <w:link w:val="Style_54"/>
    <w:rPr>
      <w:rFonts w:ascii="XO Thames" w:hAnsi="XO Thames"/>
      <w:b w:val="1"/>
      <w:caps w:val="1"/>
      <w:sz w:val="40"/>
    </w:rPr>
  </w:style>
  <w:style w:styleId="Style_55" w:type="paragraph">
    <w:name w:val="heading 4"/>
    <w:next w:val="Style_3"/>
    <w:link w:val="Style_5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55_ch" w:type="character">
    <w:name w:val="heading 4"/>
    <w:link w:val="Style_55"/>
    <w:rPr>
      <w:rFonts w:ascii="XO Thames" w:hAnsi="XO Thames"/>
      <w:b w:val="1"/>
      <w:sz w:val="24"/>
    </w:rPr>
  </w:style>
  <w:style w:styleId="Style_56" w:type="paragraph">
    <w:name w:val="Heading 31"/>
    <w:link w:val="Style_56_ch"/>
    <w:rPr>
      <w:rFonts w:ascii="XO Thames" w:hAnsi="XO Thames"/>
      <w:b w:val="1"/>
      <w:sz w:val="26"/>
    </w:rPr>
  </w:style>
  <w:style w:styleId="Style_56_ch" w:type="character">
    <w:name w:val="Heading 31"/>
    <w:link w:val="Style_56"/>
    <w:rPr>
      <w:rFonts w:ascii="XO Thames" w:hAnsi="XO Thames"/>
      <w:b w:val="1"/>
      <w:sz w:val="26"/>
    </w:rPr>
  </w:style>
  <w:style w:styleId="Style_57" w:type="paragraph">
    <w:name w:val="heading 2"/>
    <w:next w:val="Style_3"/>
    <w:link w:val="Style_5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57_ch" w:type="character">
    <w:name w:val="heading 2"/>
    <w:link w:val="Style_57"/>
    <w:rPr>
      <w:rFonts w:ascii="XO Thames" w:hAnsi="XO Thames"/>
      <w:b w:val="1"/>
      <w:sz w:val="28"/>
    </w:rPr>
  </w:style>
  <w:style w:styleId="Style_58" w:type="paragraph">
    <w:name w:val="List"/>
    <w:basedOn w:val="Style_41"/>
    <w:link w:val="Style_58_ch"/>
    <w:rPr>
      <w:rFonts w:ascii="PT Astra Serif" w:hAnsi="PT Astra Serif"/>
    </w:rPr>
  </w:style>
  <w:style w:styleId="Style_58_ch" w:type="character">
    <w:name w:val="List"/>
    <w:basedOn w:val="Style_41_ch"/>
    <w:link w:val="Style_58"/>
    <w:rPr>
      <w:rFonts w:ascii="PT Astra Serif" w:hAnsi="PT Astra Serif"/>
    </w:rPr>
  </w:style>
  <w:style w:styleId="Style_59" w:type="paragraph">
    <w:name w:val="Heading 51"/>
    <w:link w:val="Style_59_ch"/>
    <w:rPr>
      <w:rFonts w:ascii="XO Thames" w:hAnsi="XO Thames"/>
      <w:b w:val="1"/>
    </w:rPr>
  </w:style>
  <w:style w:styleId="Style_59_ch" w:type="character">
    <w:name w:val="Heading 51"/>
    <w:link w:val="Style_59"/>
    <w:rPr>
      <w:rFonts w:ascii="XO Thames" w:hAnsi="XO Thames"/>
      <w:b w:val="1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MyOffice-CoreFramework-Linux/30-1057.739.7955.691.1@6f967f4b4ae0ae6f94b7d59183011075308df4f8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2026-04-20T08:16:36Z</dcterms:modified>
</cp:coreProperties>
</file>